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StrlSchV 2018 — Pflichten des Strahlenschutzbeauftragten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Strahlenschutzbeauftragte hat für die Einhaltung der dem Strahlenschutzverantwortlichen durch diese Verordnung zugewiesenen Pflichten zu sorgen, soweit ihm die entsprechenden Aufgaben und Befugnisse nach § 70 Absatz 2 des Strahlenschutzgesetzes übertragen wurden. § 70 Absatz 1 Satz 2 des Strahlenschutzgesetzes bleibt unberührt.</w:t>
      </w:r>
    </w:p>
    <w:p>
      <w:r>
        <w:t xml:space="preserve">(2) Die Pflichten der folgenden Vorschriften dürfen dem Strahlenschutzbeauftragten nicht übertragen werden: § 44 Absatz 2, § 45 Absatz 1 Satz 1 und Absatz 3 und 4, § 54, § 79 Absatz 5, § 98 Satz 1 Nummer 4, auch in Verbindung mit Satz 2, § 99 Absatz 3, § 104 Absatz 1 Satz 1, Absatz 3 Satz 1 und Absatz 4, § 106 Absatz 2 und 4, § 117 Absatz 1 und 2 und § 138 Absatz 1.</w:t>
      </w:r>
    </w:p>
    <w:p>
      <w:r>
        <w:rPr>
          <w:color w:val="555555"/>
          <w:sz w:val="17"/>
        </w:rPr>
        <w:t xml:space="preserve">Zitiervorschlag: § 43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