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StrlSchV 2018 — Pflichten des Inhabers einer Freigabe</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der Inhaber der Freigabe ist, hat für jede Masse oder Teilmasse, die auf Grund der Freigabe als nicht radioaktiver Stoff verwendet, verwertet, beseitigt, innegehabt oder an Dritte weitergegeben werden soll, zuvor die Übereinstimmung mit dem Inhalt des Freigabebescheides festzustellen.</w:t>
      </w:r>
    </w:p>
    <w:p>
      <w:r>
        <w:t xml:space="preserve">(2) Messungen, die zur Feststellung der Übereinstimmung mit dem Inhalt des Freigabebescheides erforderlich sind (Freimessungen), und ihre Ergebnisse sind von dem Strahlenschutzverantwortlichen, der Inhaber der Freigabe ist, zu dokumentieren.</w:t>
      </w:r>
    </w:p>
    <w:p>
      <w:r>
        <w:t xml:space="preserve">(3) Der Strahlenschutzverantwortliche, der Inhaber der Freigabe ist, hat die zuständige Behörde unverzüglich zu informieren, wenn eine der Anforderungen, von denen die Erteilung der Freigabe abhängt, nicht mehr erfüllt ist.</w:t>
      </w:r>
    </w:p>
    <w:p>
      <w:r>
        <w:rPr>
          <w:color w:val="555555"/>
          <w:sz w:val="17"/>
        </w:rPr>
        <w:t xml:space="preserve">Zitiervorschlag: § 42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