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StrlSchV 2018 — Verfahren zur Prüfung der Rechtfertigung von Tätigkeitsarten nach § 38 des Strahlenschutzgesetzes</w:t>
      </w:r>
    </w:p>
    <w:p>
      <w:r>
        <w:rPr>
          <w:color w:val="555555"/>
          <w:sz w:val="18"/>
        </w:rPr>
        <w:t xml:space="preserve">Strahlenschutzverordnung</w:t>
      </w:r>
    </w:p>
    <w:p>
      <w:r>
        <w:rPr>
          <w:color w:val="555555"/>
          <w:sz w:val="18"/>
        </w:rPr>
        <w:t xml:space="preserve">Stand: 05.06.2021 (konsolidierte Textfassung, kein amtliches Inkrafttretensdatum)</w:t>
      </w:r>
    </w:p>
    <w:p>
      <w:r>
        <w:t xml:space="preserve">(1) Die für die Erteilung einer Genehmigung nach § 40 oder § 42 des Strahlenschutzgesetzes oder einer Bauartzulassung nach § 45 des Strahlenschutzgesetzes zuständige Behörde hat dem Bundesamt für Strahlenschutz zusammen mit dem gemäß § 41 Absatz 5 Satz 1, § 43 Absatz 2 Satz 1 oder § 46 Absatz 3 Satz 1 des Strahlenschutzgesetzes weiterzuleitenden Antrag Folgendes vorzulegen:</w:t>
      </w:r>
    </w:p>
    <w:p>
      <w:pPr>
        <w:ind w:left="420"/>
      </w:pPr>
      <w:r>
        <w:t xml:space="preserve">1. die Darlegung, warum die beabsichtigte Verwendung, die beabsichtigte Lagerung oder der beabsichtigte Betrieb eine neue Tätigkeitsart darstellt, und</w:t>
      </w:r>
    </w:p>
    <w:p>
      <w:pPr>
        <w:ind w:left="420"/>
      </w:pPr>
      <w:r>
        <w:t xml:space="preserve">2. die Unterlagen, die zur Prüfung der Rechtfertigung der Tätigkeitsart erforderlich sind, insbesondere die in Anlage 2 aufgeführten Unterlagen.</w:t>
      </w:r>
    </w:p>
    <w:p>
      <w:r>
        <w:t xml:space="preserve">Das Bundesamt für Strahlenschutz kann für die Prüfung erforderliche Unterlagen nachfordern; die Frist nach § 38 Absatz 1 Satz 1 des Strahlenschutzgesetzes bleibt davon unberührt.</w:t>
      </w:r>
    </w:p>
    <w:p>
      <w:r>
        <w:t xml:space="preserve">(2) Das Bundesamt für Strahlenschutz informiert das Bundesministerium für Umwelt, Naturschutz und nukleare Sicherheit, die für die Erteilung der Genehmigung nach § 40 oder § 42 des Strahlenschutzgesetzes oder der Bauartzulassung nach § 45 Absatz 1 Nummer 1, 3, 4, 5, 6 oder 7 des Strahlenschutzgesetzes zuständige Behörde sowie die für den Strahlenschutz zuständigen obersten Landesbehörden über den Beginn einer Prüfung.</w:t>
      </w:r>
    </w:p>
    <w:p>
      <w:r>
        <w:t xml:space="preserve">(3) Das Bundesamt für Strahlenschutz bewertet bei der Prüfung der Rechtfertigung der Tätigkeitsart insbesondere, ob</w:t>
      </w:r>
    </w:p>
    <w:p>
      <w:pPr>
        <w:ind w:left="420"/>
      </w:pPr>
      <w:r>
        <w:t xml:space="preserve">1. die Leistungsfähigkeit und Eignung des Konsumguts, der Vorrichtung, der Anlage, der Röntgeneinrichtung oder des Störstrahlers die beabsichtigte Verwendung, die beabsichtigte Lagerung oder den beabsichtigten Betrieb rechtfertigt,</w:t>
      </w:r>
    </w:p>
    <w:p>
      <w:pPr>
        <w:ind w:left="420"/>
      </w:pPr>
      <w:r>
        <w:t xml:space="preserve">2. die Auslegung geeignet ist, um sicherzustellen, dass Expositionen bei normaler Verwendung sowie die Wahrscheinlichkeit einer falschen Verwendung oder unfallbedingter Expositionen und deren Folgen so gering wie möglich sind.</w:t>
      </w:r>
    </w:p>
    <w:p>
      <w:r>
        <w:t xml:space="preserve">(4) Das Bundesamt für Strahlenschutz veröffentlicht seine Stellungnahme zur Rechtfertigung der Tätigkeitsart unverzüglich nach ihrer Fertigstellung im Bundesanzeiger.</w:t>
      </w:r>
    </w:p>
    <w:p>
      <w:r>
        <w:t xml:space="preserve">(5) Das Bundesamt für Strahlenschutz übermittelt die Stellungnahme unverzüglich</w:t>
      </w:r>
    </w:p>
    <w:p>
      <w:pPr>
        <w:ind w:left="420"/>
      </w:pPr>
      <w:r>
        <w:t xml:space="preserve">1. dem Bundesministerium für Umwelt, Naturschutz und nukleare Sicherheit,</w:t>
      </w:r>
    </w:p>
    <w:p>
      <w:pPr>
        <w:ind w:left="420"/>
      </w:pPr>
      <w:r>
        <w:t xml:space="preserve">2. der für das ausgesetzte Genehmigungs- oder Zulassungsverfahren zuständigen Behörde und</w:t>
      </w:r>
    </w:p>
    <w:p>
      <w:pPr>
        <w:ind w:left="420"/>
      </w:pPr>
      <w:r>
        <w:t xml:space="preserve">3. im Falle eines Antrags nach § 40 oder § 42 des Strahlenschutzgesetzes den zuständigen Kontaktstellen der anderen Mitgliedstaaten nach Artikel 76 Absatz 2 Satz 1 der Richtlinie 2013/59 Euratom.</w:t>
      </w:r>
    </w:p>
    <w:p>
      <w:r>
        <w:t xml:space="preserve">Die für die Erteilung einer Genehmigung nach § 40 oder § 42 des Strahlenschutzgesetzes oder einer Bauartzulassung nach § 45 Absatz 1 Nummer 1, 3, 4, 5, 6 oder 7 des Strahlenschutzgesetzes zuständigen Behörden übermitteln dem Bundesamt für Strahlenschutz Informationen über erteilte Genehmigungen für Konsumgüter sowie über Bauartzulassungen. Das Bundesamt für Strahlenschutz veröffentlicht eine Liste mit den wesentlichen Angaben über den Gegenstand dieser Genehmigungen oder Bauartzulassungen.</w:t>
      </w:r>
    </w:p>
    <w:p>
      <w:r>
        <w:rPr>
          <w:color w:val="555555"/>
          <w:sz w:val="17"/>
        </w:rPr>
        <w:t xml:space="preserve">Zitiervorschlag: § 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