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StrlSchV 2018 — Einvernehmen bei der spezifischen Freigabe zur Beseitigung und bei der spezifischen Freigabe von Metallschrott zum Recycling</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Die zuständige Behörde stellt das Einvernehmen mit der für den Vollzug dieser Verordnung zuständigen obersten Landesbehörde her, in deren Zuständigkeitsbereich die freizugebenden Massen entsorgt werden sollen, bei</w:t>
      </w:r>
    </w:p>
    <w:p>
      <w:pPr>
        <w:ind w:left="420"/>
      </w:pPr>
      <w:r>
        <w:t xml:space="preserve">1. einer beabsichtigten spezifischen Freigabe zur Beseitigung von Massen von mehr als 10 Megagramm im Kalenderjahr,</w:t>
      </w:r>
    </w:p>
    <w:p>
      <w:pPr>
        <w:ind w:left="420"/>
      </w:pPr>
      <w:r>
        <w:t xml:space="preserve">2. bei einer beabsichtigten spezifischen Freigabe von Metallschrott zum Recycling von Massen von mehr als 10 Megagramm im Kalenderjahr und</w:t>
      </w:r>
    </w:p>
    <w:p>
      <w:pPr>
        <w:ind w:left="420"/>
      </w:pPr>
      <w:r>
        <w:t xml:space="preserve">3. bei einer beabsichtigten Freigabe von Metallschrott zum Recycling bei Vorliegen einer Festlegung nach Anlage 8 Teil G Nummer 4 von Massen von mehr als 1 Megagramm im Kalenderjahr.</w:t>
      </w:r>
    </w:p>
    <w:p>
      <w:r>
        <w:t xml:space="preserve">(2) Das Einvernehmen gilt als erteilt, wenn es nicht innerhalb von 30 Kalendertagen nach Eingang des Ersuchens der für die beabsichtigte Freigabe zuständigen Behörde versagt wird. Ist auf Grund einer Abschätzung nicht auszuschließen, dass mit der beabsichtigten Freigabe das Dosiskriterium für die Freigabe am Standort der Entsorgungsanlage nicht eingehalten wird, so versagt die für den Vollzug dieser Verordnung zuständige oberste Landesbehörde, in deren Zuständigkeitsbereich die freizugebenden Massen beseitigt werden sollen, das Einvernehmen.</w:t>
      </w:r>
    </w:p>
    <w:p>
      <w:r>
        <w:rPr>
          <w:color w:val="555555"/>
          <w:sz w:val="17"/>
        </w:rPr>
        <w:t xml:space="preserve">Zitiervorschlag: § 39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