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StrlSchV 2018 — Freigabe im Einzelfall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Antragsteller kann den Nachweis, dass das Dosiskriterium für die Freigabe eingehalten ist, auch im Einzelfall führen. Dies gilt, soweit</w:t>
      </w:r>
    </w:p>
    <w:p>
      <w:pPr>
        <w:ind w:left="420"/>
      </w:pPr>
      <w:r>
        <w:t xml:space="preserve">1. die für eine spezifische Freigabe erforderlichen Anforderungen und Festlegungen im Einzelfall nicht vorliegen,</w:t>
      </w:r>
    </w:p>
    <w:p>
      <w:pPr>
        <w:ind w:left="420"/>
      </w:pPr>
      <w:r>
        <w:t xml:space="preserve">2. für einzelne Radionuklide keine Freigabewerte festgelegt sind,</w:t>
      </w:r>
    </w:p>
    <w:p>
      <w:pPr>
        <w:ind w:left="420"/>
      </w:pPr>
      <w:r>
        <w:t xml:space="preserve">3. es sich um andere als die in Anlage 8 Teil B genannten flüssigen Stoffe handelt oder</w:t>
      </w:r>
    </w:p>
    <w:p>
      <w:pPr>
        <w:ind w:left="420"/>
      </w:pPr>
      <w:r>
        <w:t xml:space="preserve">4. der zuständigen Behörde Anhaltpunkte dafür vorliegen, dass am Standort der Entsorgungsanlage bei Heranziehung der Freigabewerte nach Anlage 4 Tabelle 1 Spalte 8, 9, 10, 11 oder 14 das Dosiskriterium für die Freigabe nicht eingehalten ist.</w:t>
      </w:r>
    </w:p>
    <w:p>
      <w:r>
        <w:t xml:space="preserve">Satz 1 gilt auch, soweit die Freigabe zum Einsatz in einem Grubenbau nach § 1 Absatz 1 der Versatzverordnung vom 24. Juli 2002 (BGBl. I S. 2833), die zuletzt durch Artikel 5 Absatz 25 des Gesetzes vom 24. Februar 2012 (BGBl. I S. 212) geändert worden ist, in der jeweils geltenden Fassung erfolgt.</w:t>
      </w:r>
    </w:p>
    <w:p>
      <w:r>
        <w:t xml:space="preserve">(2) Bei der Nachweisführung sind die Festlegungen nach Anlage 8 Teil A Nummer 2 zu berücksichtigen.</w:t>
      </w:r>
    </w:p>
    <w:p>
      <w:r>
        <w:rPr>
          <w:color w:val="555555"/>
          <w:sz w:val="17"/>
        </w:rPr>
        <w:t xml:space="preserve">Zitiervorschlag: § 37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