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StrlSchV 2018 — Uneingeschränkte Freigabe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davon ausgehen, dass das Dosiskriterium für die Freigabe eingehalten wird, wenn der Antragsteller nachweist, dass für eine uneingeschränkte Freigabe</w:t>
      </w:r>
    </w:p>
    <w:p>
      <w:pPr>
        <w:ind w:left="420"/>
      </w:pPr>
      <w:r>
        <w:t xml:space="preserve">1. die Freigabewerte nach Anlage 4 Tabelle 1 Spalte 3 eingehalten werden,</w:t>
      </w:r>
    </w:p>
    <w:p>
      <w:pPr>
        <w:ind w:left="420"/>
      </w:pPr>
      <w:r>
        <w:t xml:space="preserve">2. die Festlegungen nach Anlage 8 Teil A Nummer 1 und Teil B eingehalten werden und</w:t>
      </w:r>
    </w:p>
    <w:p>
      <w:pPr>
        <w:ind w:left="420"/>
      </w:pPr>
      <w:r>
        <w:t xml:space="preserve">3. in den Fällen, in denen eine feste Oberfläche vorhanden ist, an der eine Messung der Kontamination möglich ist, die Werte der Oberflächenkontamination nach Anlage 4 Tabelle 1 Spalte 5 eingehalten werden.</w:t>
      </w:r>
    </w:p>
    <w:p>
      <w:r>
        <w:rPr>
          <w:color w:val="555555"/>
          <w:sz w:val="17"/>
        </w:rPr>
        <w:t xml:space="preserve">Zitiervorschlag: § 35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