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StrlSchV 2018 — Vermischungsverbot</w:t>
      </w:r>
    </w:p>
    <w:p>
      <w:r>
        <w:rPr>
          <w:color w:val="555555"/>
          <w:sz w:val="18"/>
        </w:rPr>
        <w:t xml:space="preserve">Strahlenschutzverordnung</w:t>
      </w:r>
    </w:p>
    <w:p>
      <w:r>
        <w:rPr>
          <w:color w:val="555555"/>
          <w:sz w:val="18"/>
        </w:rPr>
        <w:t xml:space="preserve">Stand: 10.06.2019 (konsolidierte Textfassung, kein amtliches Inkrafttretensdatum)</w:t>
      </w:r>
    </w:p>
    <w:p>
      <w:r>
        <w:t xml:space="preserve">Derjenige, der einen Antrag auf Freigabe stellen kann, und der Strahlenschutzverantwortliche, der Inhaber der Freigabe ist, dürfen die Anforderungen, von denen die Erteilung der Freigabe abhängt, und die Übereinstimmung mit dem Inhalt des Freigabebescheides nicht zielgerichtet durch Vermischen oder Verdünnen herbeiführen, veranlassen oder ermöglichen.</w:t>
      </w:r>
    </w:p>
    <w:p>
      <w:r>
        <w:rPr>
          <w:color w:val="555555"/>
          <w:sz w:val="17"/>
        </w:rPr>
        <w:t xml:space="preserve">Zitiervorschlag: § 34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