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StrlSchV 2018 — Freigabe radioaktiver Stoffe; Dosiskriterium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Nur nach einer Freigabe dürfen als nicht radioaktive Stoffe verwendet, verwertet, beseitigt, innegehalten oder an einen Dritten weitergegeben werden:</w:t>
      </w:r>
    </w:p>
    <w:p>
      <w:pPr>
        <w:ind w:left="420"/>
      </w:pPr>
      <w:r>
        <w:t xml:space="preserve">1. radioaktive Stoffe, die aus Tätigkeiten nach § 4 Absatz 1 Satz 1 Nummer 1 in Verbindung mit § 5 Absatz 39 Nummer 1 oder 2, oder aus Tätigkeiten nach § 4 Absatz 1 Satz 1 Nummer 3 bis 7 des Strahlenschutzgesetzes stammen, und</w:t>
      </w:r>
    </w:p>
    <w:p>
      <w:pPr>
        <w:ind w:left="420"/>
      </w:pPr>
      <w:r>
        <w:t xml:space="preserve">2. bewegliche Gegenstände, Gebäude, Räume, Raumteile und Bauteile, Bodenflächen, Anlagen oder Anlagenteile (Gegenstände), die mit radioaktiven Stoffen, die aus Tätigkeiten nach § 4 Absatz 1 Satz 1 Nummer 1 in Verbindung mit § 5 Absatz 39 Nummer 1 oder 2, oder aus Tätigkeiten nach § 4 Absatz 1 Satz 1 Nummer 3 bis 7 des Strahlenschutzgesetzes stammen, kontaminiert sind oder durch die genannten Tätigkeiten aktiviert wurden.</w:t>
      </w:r>
    </w:p>
    <w:p>
      <w:r>
        <w:t xml:space="preserve">Einer Freigabe bedürfen insbesondere Stoffe und Gegenstände, die aus Kontrollbereichen stammen, in denen</w:t>
      </w:r>
    </w:p>
    <w:p>
      <w:pPr>
        <w:ind w:left="420"/>
      </w:pPr>
      <w:r>
        <w:t xml:space="preserve">1. mit offenen radioaktiven Stoffen umgegangen wird oder wurde,</w:t>
      </w:r>
    </w:p>
    <w:p>
      <w:pPr>
        <w:ind w:left="420"/>
      </w:pPr>
      <w:r>
        <w:t xml:space="preserve">2. offene radioaktive Stoffe vorhanden sind oder waren, oder</w:t>
      </w:r>
    </w:p>
    <w:p>
      <w:pPr>
        <w:ind w:left="420"/>
      </w:pPr>
      <w:r>
        <w:t xml:space="preserve">3. die Möglichkeit einer Aktivierung bestand.</w:t>
      </w:r>
    </w:p>
    <w:p>
      <w:r>
        <w:t xml:space="preserve">(2) Dosiskriterium für die Freigabe ist, dass für Einzelpersonen der Bevölkerung durch die freizugebenden Stoffe und Gegenstände nur eine effektive Dosis im Bereich von 10 Mikrosievert im Kalenderjahr auftreten kann.</w:t>
      </w:r>
    </w:p>
    <w:p>
      <w:r>
        <w:t xml:space="preserve">(3) Eine Freigabe ersetzt keine Genehmigung nach § 7 Absatz 3 des Atomgesetzes.</w:t>
      </w:r>
    </w:p>
    <w:p>
      <w:r>
        <w:t xml:space="preserve">(4) § 58 Absatz 2 und die §§ 99 bis 102 bleiben unberührt.</w:t>
      </w:r>
    </w:p>
    <w:p>
      <w:r>
        <w:t xml:space="preserve">(5) Die zuständige Behörde soll Ausnahmen von Absatz 1 Satz 2 erteilen, wenn durch geeignete beweissichernde Messungen nachgewiesen wird, dass keine Kontamination oder Aktivierung vorliegt. Satz 1 gilt nicht für Tätigkeiten nach § 4 Absatz 1 Satz 1 Nummer 4 des Strahlenschutzgesetzes. Die Vorgehensweise zum Nachweis, dass keine Kontamination oder Aktivierung vorliegt, ist in einer betrieblichen Unterlage zu beschreiben und durch Angaben zu Art und Umfang der Tätigkeit darzulegen.</w:t>
      </w:r>
    </w:p>
    <w:p>
      <w:r>
        <w:rPr>
          <w:color w:val="555555"/>
          <w:sz w:val="17"/>
        </w:rPr>
        <w:t xml:space="preserve">Zitiervorschlag: § 31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