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StrlSchV 2018 — Entlassung überwachungsbedürftiger Rückstände aus der Überwachung zur Verwertung als Bauprodukt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einer beabsichtigten Verwertung der überwachungsbedürftigen Rückstände als Bauprodukt legt der Antragsteller der für die Entlassung aus der Überwachung zuständigen Behörde die folgenden Unterlagen vor:</w:t>
      </w:r>
    </w:p>
    <w:p>
      <w:pPr>
        <w:ind w:left="420"/>
      </w:pPr>
      <w:r>
        <w:t xml:space="preserve">1. eine Erklärung des Antragstellers über den Verbleib der Rückstände,</w:t>
      </w:r>
    </w:p>
    <w:p>
      <w:pPr>
        <w:ind w:left="420"/>
      </w:pPr>
      <w:r>
        <w:t xml:space="preserve">2. eine Annahmeerklärung des Herstellers des Bauproduktes, das die Rückstände enthalten soll, und</w:t>
      </w:r>
    </w:p>
    <w:p>
      <w:pPr>
        <w:ind w:left="420"/>
      </w:pPr>
      <w:r>
        <w:t xml:space="preserve">3. eine Bestätigung des Herstellers des Bauproduktes, das die Rückstände enthalten soll, dass die voraussichtliche Exposition durch von dem Bauprodukt ausgehende Gammastrahlung den Referenzwert nach § 133 des Strahlenschutzgesetzes nicht überschreitet.</w:t>
      </w:r>
    </w:p>
    <w:p>
      <w:r>
        <w:t xml:space="preserve">(2) Die für die Entlassung aus der Überwachung zuständige Behörde prüft bei der Entscheidung über die Entlassung der überwachungsbedürftigen Rückstände zur Verwertung in einem Bauprodukt, dass das Dosiskriterium nach § 62 Absatz 3 Satz 1 des Strahlenschutzgesetzes nicht überschritten wird.</w:t>
      </w:r>
    </w:p>
    <w:p>
      <w:r>
        <w:t xml:space="preserve">(3) Die Bestimmungen des Kreislaufwirtschaftsgesetzes und der auf Grund dieses Gesetzes erlassenen Verordnungen bleiben unberührt.</w:t>
      </w:r>
    </w:p>
    <w:p>
      <w:r>
        <w:rPr>
          <w:color w:val="555555"/>
          <w:sz w:val="17"/>
        </w:rPr>
        <w:t xml:space="preserve">Zitiervorschlag: § 30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