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StrlSchV 2018 — Pflichten des Inhabers einer bauartzugelassenen Vorrichtung</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Der Inhaber einer bauartzugelassenen Vorrichtung hat folgende Unterlagen bei der Vorrichtung bereitzuhalten:</w:t>
      </w:r>
    </w:p>
    <w:p>
      <w:pPr>
        <w:ind w:left="420"/>
      </w:pPr>
      <w:r>
        <w:t xml:space="preserve">1. einen Abdruck des Zulassungsscheins,</w:t>
      </w:r>
    </w:p>
    <w:p>
      <w:pPr>
        <w:ind w:left="420"/>
      </w:pPr>
      <w:r>
        <w:t xml:space="preserve">2. die Betriebsanleitung,</w:t>
      </w:r>
    </w:p>
    <w:p>
      <w:pPr>
        <w:ind w:left="420"/>
      </w:pPr>
      <w:r>
        <w:t xml:space="preserve">3. den Nachweis nach § 24 Nummer 5 Buchstabe b und</w:t>
      </w:r>
    </w:p>
    <w:p>
      <w:pPr>
        <w:ind w:left="420"/>
      </w:pPr>
      <w:r>
        <w:t xml:space="preserve">4. im Falle einer Vorrichtung nach § 45 Absatz 1 Nummer 1 erste Alternative des Strahlenschutzgesetzes die Befunde der Dichtheitsprüfung nach Absatz 4 Satz 1.</w:t>
      </w:r>
    </w:p>
    <w:p>
      <w:r>
        <w:t xml:space="preserve">Bei einer Abgabe der bauartzugelassenen Vorrichtung gilt § 24 Nummer 5 entsprechend.</w:t>
      </w:r>
    </w:p>
    <w:p>
      <w:r>
        <w:t xml:space="preserve">(2) An der bauartzugelassenen Vorrichtung dürfen keine Änderungen vorgenommen werden, die für den Strahlenschutz wesentliche Merkmale betreffen.</w:t>
      </w:r>
    </w:p>
    <w:p>
      <w:r>
        <w:t xml:space="preserve">(3) Wer eine bauartzugelassene Vorrichtung betreibt oder verwendet, hat in den Fällen einer Bauartzulassung nach § 45 Absatz 1 Nummer 2 bis 7 des Strahlenschutzgesetzes unverzüglich den Betrieb einzustellen oder in den Fällen einer Bauartzulassung nach § 45 Absatz 1 Nummer 1 des Strahlenschutzgesetzes die Vorrichtung unverzüglich stillzulegen und Schutzmaßnahmen zur Vermeidung von Strahlenschäden zu treffen, wenn</w:t>
      </w:r>
    </w:p>
    <w:p>
      <w:pPr>
        <w:ind w:left="420"/>
      </w:pPr>
      <w:r>
        <w:t xml:space="preserve">1. die Rücknahme oder der Widerruf der Bauartzulassung oder die Erklärung, dass eine bauartzugelassene Vorrichtung nicht weiter betrieben werden darf, bekannt gemacht wurde oder</w:t>
      </w:r>
    </w:p>
    <w:p>
      <w:pPr>
        <w:ind w:left="420"/>
      </w:pPr>
      <w:r>
        <w:t xml:space="preserve">2. die bauartzugelassene Vorrichtung nicht mehr den im Zulassungsschein angegebenen Merkmalen entspricht.</w:t>
      </w:r>
    </w:p>
    <w:p>
      <w:r>
        <w:t xml:space="preserve">(4) Der Inhaber einer bauartzugelassenen Vorrichtung nach § 45 Absatz 1 Nummer 1 erste Alternative des Strahlenschutzgesetzes hat die Vorrichtung alle zehn Jahre durch einen nach § 172 Absatz 1 Nummer 4 des Strahlenschutzgesetzes bestimmten Sachverständigen auf Unversehrtheit und Dichtheit prüfen zu lassen. Stichtag für die Prüfung nach Satz 1 ist der im Nachweis nach § 24 Nummer 5 Buchstabe b vermerkte Tag der Qualitätskontrolle. Die für die Zulassung der Bauart zuständige Behörde kann im Zulassungsschein von den Sätzen 1 und 2 abweichende Regelungen zur Dichtheitsprüfung treffen.</w:t>
      </w:r>
    </w:p>
    <w:p>
      <w:r>
        <w:t xml:space="preserve">(5) Der Inhaber einer bauartzugelassenen Vorrichtung nach § 45 Absatz 1 Nummer 1 erste Alternative des Strahlenschutzgesetzes hat die Vorrichtung nach Beendigung der Nutzung, sofern er diese nicht an einen Dritten zur weiteren Nutzung abgibt, unverzüglich dem Inhaber der Bauartzulassung zurückzugeben. Ist dies nicht möglich, so hat er sie an eine Landessammelstelle oder an eine von der zuständigen Behörde bestimmte Stelle abzugeben.</w:t>
      </w:r>
    </w:p>
    <w:p>
      <w:r>
        <w:rPr>
          <w:color w:val="555555"/>
          <w:sz w:val="17"/>
        </w:rPr>
        <w:t xml:space="preserve">Zitiervorschlag: § 25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