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StrlSchV 2018 — Pflichten des Inhabers einer Bauartzulassung</w:t>
      </w:r>
    </w:p>
    <w:p>
      <w:r>
        <w:rPr>
          <w:color w:val="555555"/>
          <w:sz w:val="18"/>
        </w:rPr>
        <w:t xml:space="preserve">Strahlenschutzverordnung</w:t>
      </w:r>
    </w:p>
    <w:p>
      <w:r>
        <w:rPr>
          <w:color w:val="555555"/>
          <w:sz w:val="18"/>
        </w:rPr>
        <w:t xml:space="preserve">Stand: 05.06.2021 (konsolidierte Textfassung, kein amtliches Inkrafttretensdatum)</w:t>
      </w:r>
    </w:p>
    <w:p>
      <w:r>
        <w:t xml:space="preserve">Der Inhaber einer Bauartzulassung hat</w:t>
      </w:r>
    </w:p>
    <w:p>
      <w:pPr>
        <w:ind w:left="420"/>
      </w:pPr>
      <w:r>
        <w:t xml:space="preserve">1. ein Qualitätssicherungssystem zu betreiben,</w:t>
      </w:r>
    </w:p>
    <w:p>
      <w:pPr>
        <w:ind w:left="420"/>
      </w:pPr>
      <w:r>
        <w:t xml:space="preserve">2. vor einer Abgabe der gefertigten bauartzugelassenen Vorrichtung eine Qualitätskontrolle durchzuführen, um sicherzustellen, dass die gefertigte bauartzugelassene Vorrichtung den für den Strahlenschutz wesentlichen Merkmalen der Bauartzulassung entspricht,</w:t>
      </w:r>
    </w:p>
    <w:p>
      <w:pPr>
        <w:ind w:left="420"/>
      </w:pPr>
      <w:r>
        <w:t xml:space="preserve">3. die Qualitätskontrolle nach Nummer 2 durch eine von der für die Zulassung der Bauart zuständigen Behörde zu benennende sachverständige Person überwachen zu lassen,</w:t>
      </w:r>
    </w:p>
    <w:p>
      <w:pPr>
        <w:ind w:left="420"/>
      </w:pPr>
      <w:r>
        <w:t xml:space="preserve">4. vor einer Abgabe der gefertigten bauartzugelassenen Vorrichtung</w:t>
      </w:r>
    </w:p>
    <w:p>
      <w:pPr>
        <w:ind w:left="780"/>
      </w:pPr>
      <w:r>
        <w:t xml:space="preserve">a) das Bauartzeichen und weitere von der für die Zulassung der Bauart zuständigen Behörde zu bestimmende Angaben anzubringen und,</w:t>
      </w:r>
    </w:p>
    <w:p>
      <w:pPr>
        <w:ind w:left="780"/>
      </w:pPr>
      <w:r>
        <w:t xml:space="preserve">b) im Falle einer bauartzugelassenen Vorrichtung nach § 45 Absatz 1 Nummer 1 erste Alternative oder Nummer 7 des Strahlenschutzgesetzes diese entsprechend § 91 Absatz 1 zu kennzeichnen und</w:t>
      </w:r>
    </w:p>
    <w:p>
      <w:pPr>
        <w:ind w:left="780"/>
      </w:pPr>
      <w:r>
        <w:t xml:space="preserve">c) im Falle einer bauartzugelassenen Vorrichtung nach § 45 Absatz 1 Nummer 1 erste Alternative des Strahlenschutzgesetzes die Vorrichtung zusätzlich so zu kennzeichnen, dass die enthaltenen Radionuklide und deren Aktivität zum Zeitpunkt der Herstellung ersichtlich sind, soweit dies nach Größe und Beschaffenheit der Vorrichtung möglich ist,</w:t>
      </w:r>
    </w:p>
    <w:p>
      <w:pPr>
        <w:ind w:left="420"/>
      </w:pPr>
      <w:r>
        <w:t xml:space="preserve">5. dem Erwerber einer bauartzugelassenen Vorrichtung zusammen mit der Vorrichtung folgende Unterlagen auszuhändigen:</w:t>
      </w:r>
    </w:p>
    <w:p>
      <w:pPr>
        <w:ind w:left="780"/>
      </w:pPr>
      <w:r>
        <w:t xml:space="preserve">a) einen Abdruck des Zulassungsscheins,</w:t>
      </w:r>
    </w:p>
    <w:p>
      <w:pPr>
        <w:ind w:left="780"/>
      </w:pPr>
      <w:r>
        <w:t xml:space="preserve">b) einen Nachweis über das Ergebnis der Qualitätskontrolle nach Nummer 2 unter Angabe des Datums der Durchführung,</w:t>
      </w:r>
    </w:p>
    <w:p>
      <w:pPr>
        <w:ind w:left="780"/>
      </w:pPr>
      <w:r>
        <w:t xml:space="preserve">c) eine Betriebsanleitung in deutscher Sprache, in der auf die dem Strahlenschutz dienenden Maßnahmen hingewiesen wird, und</w:t>
      </w:r>
    </w:p>
    <w:p>
      <w:pPr>
        <w:ind w:left="420"/>
      </w:pPr>
      <w:r>
        <w:t xml:space="preserve">6. sicherzustellen, dass eine bauartzugelassene Vorrichtung nach § 45 Absatz 1 Nummer 1 erste Alternative des Strahlenschutzgesetzes nach Beendigung der Nutzung wieder von ihm zurückgenommen werden kann.</w:t>
      </w:r>
    </w:p>
    <w:p>
      <w:r>
        <w:rPr>
          <w:color w:val="555555"/>
          <w:sz w:val="17"/>
        </w:rPr>
        <w:t xml:space="preserve">Zitiervorschlag: § 24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