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StrlSchV 2018 — Technische Anforderungen an die Bauartzulassung einer Anlage zur Erzeugung ionisierender Strahlung als Vollschutzanlage</w:t>
      </w:r>
    </w:p>
    <w:p>
      <w:r>
        <w:rPr>
          <w:color w:val="555555"/>
          <w:sz w:val="18"/>
        </w:rPr>
        <w:t xml:space="preserve">Strahlenschutzverordnung</w:t>
      </w:r>
    </w:p>
    <w:p>
      <w:r>
        <w:rPr>
          <w:color w:val="555555"/>
          <w:sz w:val="18"/>
        </w:rPr>
        <w:t xml:space="preserve">Stand: 05.06.2021 (konsolidierte Textfassung, kein amtliches Inkrafttretensdatum)</w:t>
      </w:r>
    </w:p>
    <w:p>
      <w:r>
        <w:t xml:space="preserve">Die Bauart einer Anlage zur Erzeugung ionisierender Strahlung, die nicht zur Anwendung am Menschen bestimmt ist, darf als Vollschutzanlage nach § 45 Absatz 1 Nummer 7 des Strahlenschutzgesetzes nur dann zugelassen werden,</w:t>
      </w:r>
    </w:p>
    <w:p>
      <w:pPr>
        <w:ind w:left="420"/>
      </w:pPr>
      <w:r>
        <w:t xml:space="preserve">1. wenn sichergestellt ist, dass</w:t>
      </w:r>
    </w:p>
    <w:p>
      <w:pPr>
        <w:ind w:left="780"/>
      </w:pPr>
      <w:r>
        <w:t xml:space="preserve">a) die Erzeugung radioaktiver Stoffe durch Aktivierung beim Betrieb der Vollschutzanlage ausgeschlossen ist,</w:t>
      </w:r>
    </w:p>
    <w:p>
      <w:pPr>
        <w:ind w:left="780"/>
      </w:pPr>
      <w:r>
        <w:t xml:space="preserve">b) ein Schutzgehäuse den Ort, an dem die ionisierende Strahlung entsteht, und den zu behandelnden oder zu untersuchenden Gegenstand vollständig umschließt,</w:t>
      </w:r>
    </w:p>
    <w:p>
      <w:pPr>
        <w:ind w:left="780"/>
      </w:pPr>
      <w:r>
        <w:t xml:space="preserve">c) die Ortsdosisleistung im Abstand von 0,1 Meter von der berührbaren Oberfläche des Schutzgehäuses 3 Mikrosievert durch Stunde bei den vom Hersteller oder Verbringer angegebenen maximalen normalen Betriebsbedingungen nicht überschreitet, und</w:t>
      </w:r>
    </w:p>
    <w:p>
      <w:pPr>
        <w:ind w:left="420"/>
      </w:pPr>
      <w:r>
        <w:t xml:space="preserve">2. wenn durch zwei voneinander unabhängige Sicherheitseinrichtungen sichergestellt ist, dass die Vollschutzanlage nur bei vollständig geschlossenem Schutzgehäuse betrieben werden kann.</w:t>
      </w:r>
    </w:p>
    <w:p>
      <w:r>
        <w:rPr>
          <w:color w:val="555555"/>
          <w:sz w:val="17"/>
        </w:rPr>
        <w:t xml:space="preserve">Zitiervorschlag: § 23 StrlSchV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https://recht.nulegal.eu/gesetze/StrlSchV%202018/23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