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StrlSchV 2018 — Technische Anforderungen an die Bauartzulassung von Schulröntgeneinrichtungen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Bauart einer Röntgeneinrichtung, die weder zur Anwendung am Menschen noch zur Anwendung am Tier bestimmt ist, darf als Schulröntgeneinrichtung nach § 45 Absatz 1 Nummer 6 des Strahlenschutzgesetzes nur dann zugelassen werden, wenn sichergestellt ist, dass</w:t>
      </w:r>
    </w:p>
    <w:p>
      <w:pPr>
        <w:ind w:left="420"/>
      </w:pPr>
      <w:r>
        <w:t xml:space="preserve">1. die Voraussetzungen des § 21 erfüllt sind und</w:t>
      </w:r>
    </w:p>
    <w:p>
      <w:pPr>
        <w:ind w:left="420"/>
      </w:pPr>
      <w:r>
        <w:t xml:space="preserve">2. die vom Hersteller oder Verbringer angegebenen maximalen Betriebsbedingungen nicht überschritten werden können.</w:t>
      </w:r>
    </w:p>
    <w:p>
      <w:r>
        <w:rPr>
          <w:color w:val="555555"/>
          <w:sz w:val="17"/>
        </w:rPr>
        <w:t xml:space="preserve">Zitiervorschlag: § 22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