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StrlSchV 2018 — Technische Anforderungen an die Bauartzulassung von Hochschutzgeräten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Bauart einer Röntgeneinrichtung, die weder zur Anwendung am Menschen noch zur Anwendung am Tier bestimmt ist, darf als Hochschutzgerät nach § 45 Absatz 1 Nummer 4 des Strahlenschutzgesetzes nur dann zugelassen werden, wenn sichergestellt ist, dass</w:t>
      </w:r>
    </w:p>
    <w:p>
      <w:pPr>
        <w:ind w:left="420"/>
      </w:pPr>
      <w:r>
        <w:t xml:space="preserve">1. das Schutzgehäuse außer der Röntgenröhre oder dem Röntgenstrahler auch den zu behandelnden oder zu untersuchenden Gegenstand vollständig umschließt,</w:t>
      </w:r>
    </w:p>
    <w:p>
      <w:pPr>
        <w:ind w:left="420"/>
      </w:pPr>
      <w:r>
        <w:t xml:space="preserve">2. die Ortsdosisleistung im Abstand von 0,1 Meter von der berührbaren Oberfläche des Schutzgehäuses – ausgenommen Innenräume nach Nummer 3 Buchstabe a – bei den vom Hersteller oder Verbringer angegebenen maximalen Betriebsbedingungen 10 Mikrosievert durch Stunde nicht überschreitet,</w:t>
      </w:r>
    </w:p>
    <w:p>
      <w:pPr>
        <w:ind w:left="420"/>
      </w:pPr>
      <w:r>
        <w:t xml:space="preserve">3. die Röntgenröhre oder der Röntgenstrahler nur bei vollständig geschlossenem Schutzgehäuse betrieben werden kann; dies gilt nicht für</w:t>
      </w:r>
    </w:p>
    <w:p>
      <w:pPr>
        <w:ind w:left="780"/>
      </w:pPr>
      <w:r>
        <w:t xml:space="preserve">a) Schutzgehäuse, in die ausschließlich hineingefasst werden kann, wenn die Ortsdosisleistung im erreichbaren Teil des Innenraumes bei den vom Hersteller oder Verbringer angegebenen maximalen Betriebsbedingungen 250 Mikrosievert durch Stunde nicht überschreitet, oder</w:t>
      </w:r>
    </w:p>
    <w:p>
      <w:pPr>
        <w:ind w:left="780"/>
      </w:pPr>
      <w:r>
        <w:t xml:space="preserve">b) Untersuchungsverfahren, die einen kontinuierlichen Betrieb des Röntgenstrahlers erfordern, wenn die Ortsdosisleistung im Innern des geöffneten Schutzgehäuses 10 Mikrosievert durch Stunde nicht überschreitet.</w:t>
      </w:r>
    </w:p>
    <w:p>
      <w:r>
        <w:rPr>
          <w:color w:val="555555"/>
          <w:sz w:val="17"/>
        </w:rPr>
        <w:t xml:space="preserve">Zitiervorschlag: § 20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