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197 StrlSchV 2018 — Dosis- und Messgrößen (§ 171, Anlage 18)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17.01.2024 (konsolidierte Textfassung, kein amtliches Inkrafttretensdatum)</w:t>
      </w:r>
    </w:p>
    <w:p>
      <w:r>
        <w:t xml:space="preserve">(1) Die in Anlage 18 Teil A Nummer 1 Buchstabe b genannte Messgröße ist spätestens ab dem 1. Januar 2022 bei Messungen der Personendosis nach § 65 Absatz 1 Satz 1 und § 66 Absatz 2 Satz 4 und Absatz 5 zu verwenden. Die in Anlage 18 Teil A Nummer 2 Buchstabe b genannte Messgröße ist spätestens ab dem 1. Januar 2022 bei Messungen der Ortsdosis und Ortsdosisleistung nach den §§ 56 und 65 Absatz 1 Satz 2 Nummer 1 zu verwenden.</w:t>
      </w:r>
    </w:p>
    <w:p>
      <w:r>
        <w:t xml:space="preserve">(2) Die in Anlage 18 Teil C Nummer 1 und 2 angegebenen Werte des Strahlungs-Wichtungsfaktors und des Gewebe-Wichtungsfaktors sind spätestens ab dem 1. Juli 2027 zu verwenden.</w:t>
      </w:r>
    </w:p>
    <w:p>
      <w:r>
        <w:rPr>
          <w:color w:val="555555"/>
          <w:sz w:val="17"/>
        </w:rPr>
        <w:t xml:space="preserve">Zitiervorschlag: § 197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