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194 StrlSchV 2018 — Begrenzung der Exposition durch Störfälle (§ 104)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Inkrafttreten Allgemeiner Verwaltungsvorschriften zur Störfallvorsorge nach § 104 Absatz 6 ist bei der Planung der in § 104 Absatz 3 und 4 genannten Anlagen und Einrichtungen die Störfallexposition so zu begrenzen, dass die durch Freisetzung radioaktiver Stoffe in die Umgebung verursachte effektive Dosis von 50 Millisievert nicht überschritten wird.</w:t>
      </w:r>
    </w:p>
    <w:p>
      <w:r>
        <w:rPr>
          <w:color w:val="555555"/>
          <w:sz w:val="17"/>
        </w:rPr>
        <w:t xml:space="preserve">Zitiervorschlag: § 194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