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192 StrlSchV 2018 — Register über hochradioaktive Strahlenquellen (§ 84)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hochradioaktiven Strahlenquellen, die bis zum 31. Dezember 2018 im Register über hochradioaktive Strahlenquellen erfasst wurden und die nach § 83 weiter als hochradioaktive Strahlenquellen gelten, sind bis zum 1. Januar 2020 die nach Anlage 9 erforderlichen Angaben im Register über hochradioaktive Strahlenquellen zu vervollständigen.</w:t>
      </w:r>
    </w:p>
    <w:p>
      <w:r>
        <w:rPr>
          <w:color w:val="555555"/>
          <w:sz w:val="17"/>
        </w:rPr>
        <w:t xml:space="preserve">Zitiervorschlag: § 192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