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 StrlSchV 2018 — Übergangsvorschriften im Zusammenhang mit Strahlenschutzbereichen (§§ 52 bis 62)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einer nach § 197 oder § 198 des Strahlenschutzgesetzes fortgeltenden Genehmigung, einer vor dem 31. Dezember 2018 erteilten Genehmigung nach den §§ 6, 7, 9 oder § 9b des Atomgesetzes oder eines Planfeststellungsbeschlusses nach § 9b des Atomgesetzes sowie der Anzeigepflichtige einer nach den §§ 199, 200 oder § 210 des Strahlenschutzgesetzes fortgeltenden Anzeige hat, sofern die Organ-Äquivalentdosis der Augenlinse 15 Millisievert im Kalenderjahr überschreiten kann, einen Kontrollbereich nach § 52 Absatz 2 Satz 1 Nummer 2 bis zum 1. Januar 2020 einzurichten, wenn nicht bereits ein Kontrollbereich eingerichtet ist.</w:t>
      </w:r>
    </w:p>
    <w:p>
      <w:r>
        <w:t xml:space="preserve">(2) Der Inhaber einer nach § 198 Absatz 1 oder 4 des Strahlenschutzgesetzes fortgeltenden Genehmigung sowie der Anzeigepflichtige einer nach § 200 Absatz 1 des Strahlenschutzgesetzes fortgeltenden Anzeige hat, sofern ein Sperrbereich nach § 52 Absatz 2 Satz 1 Nummer 3 erforderlich ist, diesen bis zum 31. Dezember 2019 einzurichten.</w:t>
      </w:r>
    </w:p>
    <w:p>
      <w:r>
        <w:t xml:space="preserve">(3) Der vor dem 31. Dezember 2018 genehmigte Betrieb einer Bestrahlungsvorrichtung, die radioaktive Stoffe enthält, deren Aktivität 50 Gigabecquerel unterschreitet, darf bis zum 31. Dezember 2019 außerhalb eines Bestrahlungsraums nach § 61 fortgesetzt werden.</w:t>
      </w:r>
    </w:p>
    <w:p>
      <w:r>
        <w:rPr>
          <w:color w:val="555555"/>
          <w:sz w:val="17"/>
        </w:rPr>
        <w:t xml:space="preserve">Zitiervorschlag: § 190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