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StrlSchV 2018 — Bauartzulassung (§§ 16 bis 26)</w:t>
      </w:r>
    </w:p>
    <w:p>
      <w:r>
        <w:rPr>
          <w:color w:val="555555"/>
          <w:sz w:val="18"/>
        </w:rPr>
        <w:t xml:space="preserve">Strahlenschutzverordnung</w:t>
      </w:r>
    </w:p>
    <w:p>
      <w:r>
        <w:rPr>
          <w:color w:val="555555"/>
          <w:sz w:val="18"/>
        </w:rPr>
        <w:t xml:space="preserve">Stand: 17.01.2024 (konsolidierte Textfassung, kein amtliches Inkrafttretensdatum)</w:t>
      </w:r>
    </w:p>
    <w:p>
      <w:r>
        <w:t xml:space="preserve">Bauartzugelassene Vorrichtungen, die sonstige radioaktive Stoffe nach § 3 Absatz 1 des Strahlenschutzgesetzes enthalten und die gemäß § 208 Absatz 2, 3 zweiter Teilsatz oder Absatz 4 des Strahlenschutzgesetzes weiterbetrieben werden, hat der Inhaber, sofern im Zulassungsschein nicht kürzere Fristen vorgesehen sind, entsprechend § 25 Absatz 4 Satz 1 alle zehn Jahre nach Auslaufen der Bauartzulassung auf Unversehrtheit und Dichtheit prüfen zu lassen. Liegt das Auslaufen der Bauartzulassung am 31. Dezember 2018 mehr als zehn Jahre zurück, hat die Prüfung der Unversehrtheit und Dichtheit spätestens bis zum 31. Dezember 2021 zu erfolgen. Die Sätze 1 und 2 gelten nicht, wenn die Aktivität der in der Vorrichtung enthaltenen Stoffe unterhalb der Freigrenze nach Anlage 4 Tabelle 1 Spalte 2 liegt oder wenn die Verwendung der Vorrichtung nach § 4 Absatz 2 Satz 2 in Verbindung mit Anlage III Teil B Nummer 4 der Strahlenschutzverordnung vom 30. Juni 1989 (BGBl. I S. 1321) in der bis zum 31. Juli 2001 geltenden Fassung genehmigungs- und anzeigefrei war.</w:t>
      </w:r>
    </w:p>
    <w:p>
      <w:r>
        <w:rPr>
          <w:color w:val="555555"/>
          <w:sz w:val="17"/>
        </w:rPr>
        <w:t xml:space="preserve">Zitiervorschlag: § 185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