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180 StrlSchV 2018 — Unabhängigkeit</w:t>
      </w:r>
    </w:p>
    <w:p>
      <w:r>
        <w:rPr>
          <w:color w:val="555555"/>
          <w:sz w:val="18"/>
        </w:rPr>
        <w:t xml:space="preserve">Strahlenschutzverordnung</w:t>
      </w:r>
    </w:p>
    <w:p>
      <w:r>
        <w:rPr>
          <w:color w:val="555555"/>
          <w:sz w:val="18"/>
        </w:rPr>
        <w:t xml:space="preserve">Stand: 10.06.2019 (konsolidierte Textfassung, kein amtliches Inkrafttretensdatum)</w:t>
      </w:r>
    </w:p>
    <w:p>
      <w:r>
        <w:t xml:space="preserve">(1) Die für eine Bestimmung als Sachverständiger erforderliche Unabhängigkeit ist gegeben, wenn der Einzelsachverständige oder im Falle von Sachverständigenorganisationen die Organisation selbst sowie die zur Vertretung Berechtigten keiner wirtschaftlichen, finanziellen oder sonstigen Einflussnahme unterliegen, die ihr Urteil beeinflussen oder das Vertrauen in die unparteiische Aufgabenwahrnehmung in Frage stellen kann. Es dürfen keine Bindungen eingegangen werden, die die berufliche Entscheidungsfreiheit beeinträchtigen oder beeinträchtigen könnten.</w:t>
      </w:r>
    </w:p>
    <w:p>
      <w:r>
        <w:t xml:space="preserve">(2) Die erforderliche Unabhängigkeit ist nicht gegeben, wenn der Einzelsachverständige oder im Falle von Sachverständigenorganisationen die Organisation selbst oder die zur Vertretung Berechtigten an der Entwicklung, der Herstellung, am Vertrieb oder an der Instandhaltung von Geräten oder Vorrichtungen oder von deren Teilen oder von umschlossenen radioaktiven Stoffen beteiligt sind, die im Rahmen der Sachverständigentätigkeit geprüft werden sollen. Dies gilt auch, wenn die in Satz 1 genannten Personen die zu prüfenden Geräte oder Vorrichtungen selbst betreiben.</w:t>
      </w:r>
    </w:p>
    <w:p>
      <w:r>
        <w:t xml:space="preserve">(3) Die erforderliche Unabhängigkeit ist in der Regel auch nicht gegeben, wenn der Einzelsachverständige oder im Falle von Sachverständigenorganisationen die Organisation selbst oder die zur Vertretung Berechtigten organisatorisch, wirtschaftlich, personell oder finanziell mit Dritten derart verflochten sind, dass deren Einflussnahme auf die jeweiligen Aufgaben nicht ausgeschlossen werden kann.</w:t>
      </w:r>
    </w:p>
    <w:p>
      <w:r>
        <w:t xml:space="preserve">(4) Bei jeder Antragstellung ist eine Erklärung darüber abzugeben, dass die Anforderungen an die Unabhängigkeit erfüllt sind und der Einzelsachverständige oder im Falle von Sachverständigenorganisationen die prüfenden Personen keinen fachlichen Weisungen im Hinblick auf die Sachverständigentätigkeit unterliegen. § 179 Absatz 2 gilt entsprechend.</w:t>
      </w:r>
    </w:p>
    <w:p>
      <w:r>
        <w:rPr>
          <w:color w:val="555555"/>
          <w:sz w:val="17"/>
        </w:rPr>
        <w:t xml:space="preserve">Zitiervorschlag: § 180 StrlSchV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https://recht.nulegal.eu/gesetze/StrlSchV%202018/180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