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StrlSchV 2018 — Technische Anforderungen an die Bauartzulassung von Röntgenstrahlern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Bauart eines Röntgenstrahlers, der weder zur Anwendung am Menschen noch zur Anwendung am Tier bestimmt ist und, bei dem der Untersuchungsgegenstand nicht vom Schutzgehäuse mit umschlossen wird, darf nach § 45 Absatz 1 Nummer 2 des Strahlenschutzgesetzes nur dann zugelassen werden, wenn sichergestellt ist, dass</w:t>
      </w:r>
    </w:p>
    <w:p>
      <w:pPr>
        <w:ind w:left="420"/>
      </w:pPr>
      <w:r>
        <w:t xml:space="preserve">1. im Falle eines Röntgenstrahlers für Röntgenfeinstrukturuntersuchungen die Ortsdosisleistung bei geschlossenen Strahlenaustrittsfenstern und den vom Hersteller oder Verbringer angegebenen maximalen Betriebsbedingungen in 1 Meter Abstand vom Brennfleck 3 Mikrosievert durch Stunde nicht überschreitet, oder</w:t>
      </w:r>
    </w:p>
    <w:p>
      <w:pPr>
        <w:ind w:left="420"/>
      </w:pPr>
      <w:r>
        <w:t xml:space="preserve">2. im Falle eines Röntgenstrahlers, der nicht unter Nummer 1 fällt, die über einen je nach Anwendung geeigneten Zeitraum gemittelte Ortsdosisleistung bei geschlossenen Strahlenaustrittsfenstern und den vom Hersteller oder Verbringer angegebenen maximalen Betriebsbedingungen in 1 Meter Abstand vom Brennfleck folgende Werte nicht überschreitet:</w:t>
      </w:r>
    </w:p>
    <w:p>
      <w:pPr>
        <w:ind w:left="780"/>
      </w:pPr>
      <w:r>
        <w:t xml:space="preserve">a) bei Nennspannungen bis 200 Kilovolt 2,5 Millisievert durch Stunde,</w:t>
      </w:r>
    </w:p>
    <w:p>
      <w:pPr>
        <w:ind w:left="780"/>
      </w:pPr>
      <w:r>
        <w:t xml:space="preserve">b) bei Nennspannungen über 200 Kilovolt 10 Millisievert durch Stunde und nach Herunterregeln auf eine Röntgenspannung von 200 Kilovolt 2,5 Millisievert durch Stunde.</w:t>
      </w:r>
    </w:p>
    <w:p>
      <w:r>
        <w:t xml:space="preserve">(2) Die Bauart eines Röntgenstrahlers, der zur Anwendung von Röntgenstrahlung am Tier bestimmt ist, darf nach § 45 Absatz 1 Nummer 2 des Strahlenschutzgesetzes nur dann zugelassen werden, wenn sichergestellt ist, dass die über einen je nach Anwendung geeigneten Zeitraum gemittelte Ortsdosisleistung bei geschlossenem Strahlenaustrittsfenster und bei den vom Hersteller oder Verbringer angegebenen maximalen Betriebsbedingungen</w:t>
      </w:r>
    </w:p>
    <w:p>
      <w:pPr>
        <w:ind w:left="420"/>
      </w:pPr>
      <w:r>
        <w:t xml:space="preserve">1. in 1 Meter Abstand vom Brennfleck 1 Millisievert durch Stunde nicht überschreitet und</w:t>
      </w:r>
    </w:p>
    <w:p>
      <w:pPr>
        <w:ind w:left="420"/>
      </w:pPr>
      <w:r>
        <w:t xml:space="preserve">2. in 0,1 Meter Abstand von der berührbaren Oberfläche des Röntgenstrahlers, ausgenommen dem Bereich der Oberfläche, in dem sich das Strahlenaustrittsfenster befindet, 100 Mikrosievert durch Stunde nicht überschreitet, sofern der Röntgenstrahler für eine Anwendung aus der Hand geeignet ist.</w:t>
      </w:r>
    </w:p>
    <w:p>
      <w:r>
        <w:rPr>
          <w:color w:val="555555"/>
          <w:sz w:val="17"/>
        </w:rPr>
        <w:t xml:space="preserve">Zitiervorschlag: § 18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