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179 StrlSchV 2018 — Überprüfung der Zuverlässigkeit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Überprüfung der Zuverlässigkeit hat der Antragsteller bei jeder Antragstellung auf Bestimmung zum Sachverständigen unverzüglich ein aktuelles Führungszeugnis nach § 30 Absatz 5 des Bundeszentralregistergesetzes zur Vorlage bei der Behörde zu beantragen. Dies gilt entsprechend, wenn eine Überprüfung der Zuverlässigkeit aus anderen Gründen erforderlich ist.</w:t>
      </w:r>
    </w:p>
    <w:p>
      <w:r>
        <w:t xml:space="preserve">(2) Soll während einer noch gültigen Bestimmung der Tätigkeitsumfang des Einzelsachverständigen oder der prüfenden Person erweitert werden, ist die erneute Vorlage der Unterlagen nicht erforderlich.</w:t>
      </w:r>
    </w:p>
    <w:p>
      <w:r>
        <w:rPr>
          <w:color w:val="555555"/>
          <w:sz w:val="17"/>
        </w:rPr>
        <w:t xml:space="preserve">Zitiervorschlag: § 179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https://recht.nulegal.eu/gesetze/StrlSchV%202018/179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179 StrlSchV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