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178 StrlSchV 2018 — Erweiterung der Bestimmung</w:t>
      </w:r>
    </w:p>
    <w:p>
      <w:r>
        <w:rPr>
          <w:color w:val="555555"/>
          <w:sz w:val="18"/>
        </w:rPr>
        <w:t xml:space="preserve">Strahlenschutzverordnung</w:t>
      </w:r>
    </w:p>
    <w:p>
      <w:r>
        <w:rPr>
          <w:color w:val="555555"/>
          <w:sz w:val="18"/>
        </w:rPr>
        <w:t xml:space="preserve">Stand: 10.06.2019 (konsolidierte Textfassung, kein amtliches Inkrafttretensdatum)</w:t>
      </w:r>
    </w:p>
    <w:p>
      <w:r>
        <w:t xml:space="preserve">Das Hinzukommen einer prüfenden Person in einer Sachverständigenorganisation oder die Erweiterung des Tätigkeitsumfangs des Einzelsachverständigen oder der prüfenden Person bedürfen der Zustimmung der zuständigen Behörde. Dem Antrag auf Erweiterung sind die zur Prüfung erforderlichen Unterlagen beizufügen.</w:t>
      </w:r>
    </w:p>
    <w:p>
      <w:r>
        <w:rPr>
          <w:color w:val="555555"/>
          <w:sz w:val="17"/>
        </w:rPr>
        <w:t xml:space="preserve">Zitiervorschlag: § 178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