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177 StrlSchV 2018 — Bestimmung von Sachverständigen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zuständige Behörde hat auf Antrag Einzelsachverständige nach § 172 Absatz 1 des Strahlenschutzgesetzes zu bestimmen, wenn</w:t>
      </w:r>
    </w:p>
    <w:p>
      <w:pPr>
        <w:ind w:left="420"/>
      </w:pPr>
      <w:r>
        <w:t xml:space="preserve">1. keine Tatsachen vorliegen, aus denen sich Bedenken gegen die Zuverlässigkeit oder die Unabhängigkeit des Antragstellers ergeben,</w:t>
      </w:r>
    </w:p>
    <w:p>
      <w:pPr>
        <w:ind w:left="420"/>
      </w:pPr>
      <w:r>
        <w:t xml:space="preserve">2. der Antragsteller die nach § 181 erforderlichen Anforderungen an die Ausbildung, die beruflichen Kenntnisse und Fähigkeiten erfüllt und</w:t>
      </w:r>
    </w:p>
    <w:p>
      <w:pPr>
        <w:ind w:left="420"/>
      </w:pPr>
      <w:r>
        <w:t xml:space="preserve">3. die zur sachgerechten Ausführung des Prüfauftrags erforderliche technische und organisatorische Ausstattung zur Verfügung steht.</w:t>
      </w:r>
    </w:p>
    <w:p>
      <w:r>
        <w:t xml:space="preserve">(2) Die zuständige Behörde hat auf Antrag Sachverständigenorganisationen nach § 172 Absatz 1 des Strahlenschutzgesetzes zu bestimmen, wenn</w:t>
      </w:r>
    </w:p>
    <w:p>
      <w:pPr>
        <w:ind w:left="420"/>
      </w:pPr>
      <w:r>
        <w:t xml:space="preserve">1. keine Tatsachen vorliegen, aus denen sich Bedenken gegen die Unabhängigkeit der Sachverständigenorganisation ergeben,</w:t>
      </w:r>
    </w:p>
    <w:p>
      <w:pPr>
        <w:ind w:left="420"/>
      </w:pPr>
      <w:r>
        <w:t xml:space="preserve">2. keine Tatsachen vorliegen, aus denen sich Bedenken gegen die Zuverlässigkeit oder die Unabhängigkeit der nach Gesetz, Satzung oder Gesellschaftsvertrag zur Vertretung Berechtigten ergeben,</w:t>
      </w:r>
    </w:p>
    <w:p>
      <w:pPr>
        <w:ind w:left="420"/>
      </w:pPr>
      <w:r>
        <w:t xml:space="preserve">3. keine Tatsachen vorliegen, aus denen sich Bedenken gegen die Zuverlässigkeit der prüfenden Person ergeben,</w:t>
      </w:r>
    </w:p>
    <w:p>
      <w:pPr>
        <w:ind w:left="420"/>
      </w:pPr>
      <w:r>
        <w:t xml:space="preserve">4. die prüfende Person die nach § 181 erforderlichen Anforderungen an die Ausbildung, die beruflichen Kenntnisse und Fähigkeiten erfüllt und</w:t>
      </w:r>
    </w:p>
    <w:p>
      <w:pPr>
        <w:ind w:left="420"/>
      </w:pPr>
      <w:r>
        <w:t xml:space="preserve">5. die zur sachgerechten Ausführung des Prüfauftrags erforderliche technische und organisatorische Ausstattung zur Verfügung steht.</w:t>
      </w:r>
    </w:p>
    <w:p>
      <w:r>
        <w:t xml:space="preserve">(3) Dem Antrag sind die zur Prüfung erforderlichen Unterlagen beizufügen. Im Falle einer Sachverständigenorganisation sind in dem Antrag insbesondere die einzelnen prüfenden Personen und die Prüfbereiche, in denen diese tätig werden sollen, aufzuführen.</w:t>
      </w:r>
    </w:p>
    <w:p>
      <w:r>
        <w:t xml:space="preserve">(4) Die Bestimmung zum Sachverständigen ist auf fünf Jahre zu befristen.</w:t>
      </w:r>
    </w:p>
    <w:p>
      <w:r>
        <w:rPr>
          <w:color w:val="555555"/>
          <w:sz w:val="17"/>
        </w:rPr>
        <w:t xml:space="preserve">Zitiervorschlag: § 177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