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176 StrlSchV 2018 — Duldungspflichten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Personen, die der ärztlichen Überwachung nach den §§ 77 und 78, auch in Verbindung mit § 158 Absatz 3, § 165 Absatz 1 oder § 166 Absatz 1 oder der besonderen ärztlichen Überwachung nach § 81, auch in Verbindung mit den §§ 151, 158 Absatz 3, § 165 Absatz 1 oder § 166 Absatz 1, unterliegen, haben die erforderlichen ärztlichen Untersuchungen zu dulden.</w:t>
      </w:r>
    </w:p>
    <w:p>
      <w:r>
        <w:t xml:space="preserve">(2) Personen, an denen die Körperdosis nach § 64 Absatz 1 Satz 1 oder Absatz 2, § 65 Absatz 1 Satz 1 oder 2 oder Absatz 3, § 66 Absatz 1, §§ 67, 74 Absatz 4 Satz 1, § 76 Satz 1, § 150 Absatz 1, §§ 157, 165 Absatz 1 oder § 166 Absatz 1 zu ermitteln ist oder an denen die Kontaminationen nach § 57 Absatz 1 oder § 58 Absatz 1 festzustellen sind, haben die erforderlichen Messungen und Feststellungen zu dulden.</w:t>
      </w:r>
    </w:p>
    <w:p>
      <w:r>
        <w:t xml:space="preserve">(3) Die Absätze 1 und 2 gelten auch für Personen, für die die zuständige Behörde nach § 64 Absatz 4, § 66 Absatz 2 Satz 4, § 77 Absatz 4 und 5, jeweils auch in Verbindung mit § 165 Absatz 1 Nummer 2 oder § 166 Absatz 1 Nummer 2, oder § 143 ärztliche Untersuchungen, Messungen oder Feststellungen angeordnet hat.</w:t>
      </w:r>
    </w:p>
    <w:p>
      <w:r>
        <w:rPr>
          <w:color w:val="555555"/>
          <w:sz w:val="17"/>
        </w:rPr>
        <w:t xml:space="preserve">Zitiervorschlag: § 176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