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 StrlSchV 2018 — Strahlenschutzregister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Strahlenschutz bestimmt das technische Verfahren der Erzeugung und den Aufbau der persönlichen Kennnummer nach § 170 Absatz 3 des Strahlenschutzgesetzes.</w:t>
      </w:r>
    </w:p>
    <w:p>
      <w:r>
        <w:t xml:space="preserve">(2) Das Bundesamt für Strahlenschutz kann eine Identifikationsnummer, die eine zuständige Stelle außerhalb des Geltungsbereichs des Strahlenschutzgesetzes vergeben hat, als persönliche Kennnummer verwenden, wenn die Identifikationsnummer</w:t>
      </w:r>
    </w:p>
    <w:p>
      <w:pPr>
        <w:ind w:left="420"/>
      </w:pPr>
      <w:r>
        <w:t xml:space="preserve">1. der überwachten Person eindeutig zugeordnet werden kann,</w:t>
      </w:r>
    </w:p>
    <w:p>
      <w:pPr>
        <w:ind w:left="420"/>
      </w:pPr>
      <w:r>
        <w:t xml:space="preserve">2. während der Lebenszeit der überwachten Person unverändert besteht und</w:t>
      </w:r>
    </w:p>
    <w:p>
      <w:pPr>
        <w:ind w:left="420"/>
      </w:pPr>
      <w:r>
        <w:t xml:space="preserve">3. bei der überwachten Person oder dem Beschäftigungsbetrieb verfügbar ist.</w:t>
      </w:r>
    </w:p>
    <w:p>
      <w:r>
        <w:t xml:space="preserve">(3) Das Bundesamt für Strahlenschutz bestimmt das Datenformat sowie das technische Verfahren der Übermittlung nach § 170 Absatz 4 und der Auskunftserteilung nach § 170 Absatz 5 Satz 1 des Strahlenschutzgesetzes.</w:t>
      </w:r>
    </w:p>
    <w:p>
      <w:r>
        <w:rPr>
          <w:color w:val="555555"/>
          <w:sz w:val="17"/>
        </w:rPr>
        <w:t xml:space="preserve">Zitiervorschlag: § 173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