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172 StrlSchV 2018 — Messstellen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(1) Die nach § 169 Absatz 1 des Strahlenschutzgesetzes bestimmte Messstelle hat auf Anforderung Folgendes bereitzustellen:</w:t>
      </w:r>
    </w:p>
    <w:p>
      <w:pPr>
        <w:ind w:left="420"/>
      </w:pPr>
      <w:r>
        <w:t xml:space="preserve">1. dem Strahlenschutzverantwortlichen: die zur Ermittlung der Körperdosis nach § 65 Absatz 1 Satz 1 und § 66 Absatz 1 Nummer 1 erforderlichen Personendosimeter,</w:t>
      </w:r>
    </w:p>
    <w:p>
      <w:pPr>
        <w:ind w:left="420"/>
      </w:pPr>
      <w:r>
        <w:t xml:space="preserve">2. dem nach § 145 Absatz 2 des Strahlenschutzgesetzes Verpflichteten: die zur Ermittlung der Körperdosis nach § 165 Absatz 1 Nummer 1 in Verbindung mit § 65 Absatz 1 Satz 1 und § 66 Absatz 1 Nummer 1 erforderlichen Personendosimeter,</w:t>
      </w:r>
    </w:p>
    <w:p>
      <w:pPr>
        <w:ind w:left="420"/>
      </w:pPr>
      <w:r>
        <w:t xml:space="preserve">3. dem nach § 153 Absatz 1 des Strahlenschutzgesetzes Verantwortlichen: die zur Ermittlung der Körperdosis nach § 166 Absatz 1 Nummer 1 in Verbindung mit § 65 Absatz 1 Satz 1 und § 66 Absatz 1 Nummer 1 erforderlichen Personendosimeter und</w:t>
      </w:r>
    </w:p>
    <w:p>
      <w:pPr>
        <w:ind w:left="420"/>
      </w:pPr>
      <w:r>
        <w:t xml:space="preserve">4. dem nach § 131 Absatz 1 des Strahlenschutzgesetzes Verpflichteten: die zur Ermittlung der Exposition nach § 157 Absatz 2 Nummer 1 erforderlichen Messgeräte.</w:t>
      </w:r>
    </w:p>
    <w:p>
      <w:r>
        <w:t xml:space="preserve">(2) Die nach § 169 Absatz 1 des Strahlenschutzgesetzes bestimmte Messstelle kann sich zur Auswertung der Messgeräte nach § 157 Absatz 2 Nummer 1 einer anerkannten Stelle nach § 155 Absatz 3 bedienen, sofern die Messstelle die Anforderungen nach § 169 Absatz 2 des Strahlenschutzgesetzes weiterhin erfüllt.</w:t>
      </w:r>
    </w:p>
    <w:p>
      <w:r>
        <w:t xml:space="preserve">(3) Die nach § 169 Absatz 1 des Strahlenschutzgesetzes bestimmten Messstellen nehmen an Maßnahmen zur Qualitätssicherung teil. Diese werden durchgeführt</w:t>
      </w:r>
    </w:p>
    <w:p>
      <w:pPr>
        <w:ind w:left="420"/>
      </w:pPr>
      <w:r>
        <w:t xml:space="preserve">1. für die Feststellung der Körperdosis nach § 66 Absatz 1 und 2 Satz 3 von der Physikalisch-Technischen Bundesanstalt und</w:t>
      </w:r>
    </w:p>
    <w:p>
      <w:pPr>
        <w:ind w:left="420"/>
      </w:pPr>
      <w:r>
        <w:t xml:space="preserve">2. für die Feststellung der Körperdosis nach § 65 Absatz 4 und § 157 Absatz 3 von dem Bundesamt für Strahlenschutz.</w:t>
      </w:r>
    </w:p>
    <w:p>
      <w:r>
        <w:t xml:space="preserve">Für die Teilnahme an den Maßnahmen zur Qualitätssicherung, die vom Bundesamt für Strahlenschutz durchgeführt werden, werden Gebühren und Auslagen erhoben.</w:t>
      </w:r>
    </w:p>
    <w:p>
      <w:r>
        <w:rPr>
          <w:color w:val="555555"/>
          <w:sz w:val="17"/>
        </w:rPr>
        <w:t xml:space="preserve">Zitiervorschlag: § 172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https://recht.nulegal.eu/gesetze/StrlSchV%202018/172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