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170 StrlSchV 2018 — Information des zuständigen Bundesministeriums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17.01.2024 (konsolidierte Textfassung, kein amtliches Inkrafttretensdatum)</w:t>
      </w:r>
    </w:p>
    <w:p>
      <w:r>
        <w:t xml:space="preserve">Die atom- oder strahlenschutzrechtliche Aufsichtsbehörde informiert unverzüglich das Bundesministerium für Umwelt, Naturschutz und nukleare Sicherheit über eine nach § 167 Absatz 1 Satz 1 und 2, § 168 Absatz 1 Satz 1 und Absatz 3 Satz 1 und § 169 Absatz 1 Satz 1 erhaltene Mitteilung. Im Falle der Zuständigkeit einer Landesbehörde erfolgt die Information durch die zuständige oberste Landesbehörde.</w:t>
      </w:r>
    </w:p>
    <w:p>
      <w:r>
        <w:rPr>
          <w:color w:val="555555"/>
          <w:sz w:val="17"/>
        </w:rPr>
        <w:t xml:space="preserve">Zitiervorschlag: § 170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