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StrlSchV 2018 — Technische Anforderungen an die Bauartzulassung von Störstrahlern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05.06.2021 (konsolidierte Textfassung, kein amtliches Inkrafttretensdatum)</w:t>
      </w:r>
    </w:p>
    <w:p>
      <w:r>
        <w:t xml:space="preserve">Die Bauart eines Störstrahlers darf nach § 45 Absatz 1 Nummer 1 des Strahlenschutzgesetzes nur dann zugelassen werden, wenn sichergestellt ist, dass</w:t>
      </w:r>
    </w:p>
    <w:p>
      <w:pPr>
        <w:ind w:left="420"/>
      </w:pPr>
      <w:r>
        <w:t xml:space="preserve">1. die Ortsdosisleistung im Abstand von 0,1 Meter von der berührbaren Oberfläche des Störstrahlers 1 Mikrosievert durch Stunde bei den vom Hersteller oder Verbringer angegebenen maximalen Betriebsbedingungen nicht überschreitet und</w:t>
      </w:r>
    </w:p>
    <w:p>
      <w:pPr>
        <w:ind w:left="420"/>
      </w:pPr>
      <w:r>
        <w:t xml:space="preserve">2. der Störstrahler auf Grund technischer Maßnahmen nur dann betrieben werden kann, wenn die dem Strahlenschutz dienenden Sicherheitseinrichtungen vorhanden und wirksam sind.</w:t>
      </w:r>
    </w:p>
    <w:p>
      <w:r>
        <w:rPr>
          <w:color w:val="555555"/>
          <w:sz w:val="17"/>
        </w:rPr>
        <w:t xml:space="preserve">Zitiervorschlag: § 17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