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169 StrlSchV 2018 — Kontaminiertes Metall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darüber Kenntnis erlangt oder wer vermutet, dass eine herrenlose Strahlenquelle eingeschmolzen oder auf sonstige Weise metallurgisch bearbeitet wurde, hat dies der atom- oder strahlenschutzrechtlichen Aufsichtsbehörde oder der für die öffentliche Sicherheit zuständigen Behörde unverzüglich mitzuteilen.</w:t>
      </w:r>
    </w:p>
    <w:p>
      <w:r>
        <w:t xml:space="preserve">(2) Die in Absatz 1 genannten Behörden können sich nach pflichtgemäßem Ermessen gegenseitig unverzüglich über die von ihnen entgegengenommene Mitteilung unterrichten.</w:t>
      </w:r>
    </w:p>
    <w:p>
      <w:r>
        <w:t xml:space="preserve">(3) Der Inhaber der tatsächlichen Gewalt über tatsächlich oder möglicherweise kontaminiertes Metall darf dieses nur nach den Vorgaben der zuständigen Behörde verwenden, in Verkehr bringen oder entsorgen.</w:t>
      </w:r>
    </w:p>
    <w:p>
      <w:r>
        <w:rPr>
          <w:color w:val="555555"/>
          <w:sz w:val="17"/>
        </w:rPr>
        <w:t xml:space="preserve">Zitiervorschlag: § 169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