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StrlSchV 2018 — Fund und Erlangung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Wer</w:t>
      </w:r>
    </w:p>
    <w:p>
      <w:pPr>
        <w:ind w:left="420"/>
      </w:pPr>
      <w:r>
        <w:t xml:space="preserve">1. einen radioaktiven Stoff nach § 3 des Strahlenschutzgesetzes findet oder</w:t>
      </w:r>
    </w:p>
    <w:p>
      <w:pPr>
        <w:ind w:left="420"/>
      </w:pPr>
      <w:r>
        <w:t xml:space="preserve">2. ohne seinen Willen die tatsächliche Gewalt über einen radioaktiven Stoff nach § 3 des Strahlenschutzgesetzes erlangt oder</w:t>
      </w:r>
    </w:p>
    <w:p>
      <w:pPr>
        <w:ind w:left="420"/>
      </w:pPr>
      <w:r>
        <w:t xml:space="preserve">3. die tatsächliche Gewalt über einen radioaktiven Stoff nach § 3 des Strahlenschutzgesetzes erlangt hat, ohne zu wissen, dass dieser Stoff radioaktiv ist,</w:t>
      </w:r>
    </w:p>
    <w:p>
      <w:r>
        <w:t xml:space="preserve">hat dies der atom- oder strahlenschutzrechtlichen Aufsichtsbehörde oder der nach Landesrecht zuständigen Polizeibehörde unverzüglich mitzuteilen, sobald er von der Radioaktivität dieses Stoffes Kenntnis erlangt. Satz 1 gilt entsprechend für denjenigen, der vermutet, einen radioaktiven Stoff nach § 3 des Strahlenschutzgesetzes gefunden oder die tatsächliche Gewalt über einen radioaktiven Stoff nach § 3 des Strahlenschutzgesetzes erlangt zu haben. Die in Satz 1 genannten Behörden unterrichten sich nach pflichtgemäßem Ermessen jeweils wechselseitig unverzüglich über die von ihnen entgegengenommene Mitteilung.</w:t>
      </w:r>
    </w:p>
    <w:p>
      <w:r>
        <w:t xml:space="preserve">(2) Die zuständige Behörde teilt den Fund oder die Erlangung einer hochradioaktiven Strahlenquelle dem Register über hochradioaktive Strahlenquellen beim Bundesamt für Strahlenschutz in gesicherter elektronischer Form entsprechend Anlage 9 Nummer 11 unverzüglich, spätestens an dem auf die Kenntnisnahme folgenden zweiten Werktag, mit.</w:t>
      </w:r>
    </w:p>
    <w:p>
      <w:r>
        <w:t xml:space="preserve">(3) Die Mitteilungspflicht nach Absatz 1 Satz 1 gilt auch für denjenigen, der als Inhaber einer Wasserversorgungsanlage, die nicht in den Anwendungsbereich der Trinkwasserverordnung fällt, oder als Inhaber einer Abwasseranlage die tatsächliche Gewalt über Wasser erlangt, das radioaktive Stoffe enthält, wenn deren Aktivitätskonzentration im Kubikmeter Wasser von</w:t>
      </w:r>
    </w:p>
    <w:p>
      <w:pPr>
        <w:ind w:left="420"/>
      </w:pPr>
      <w:r>
        <w:t xml:space="preserve">1. Wasserversorgungsanlagen das Dreifache der Werte der Anlage 11 Teil D Nummer 2 übersteigt oder</w:t>
      </w:r>
    </w:p>
    <w:p>
      <w:pPr>
        <w:ind w:left="420"/>
      </w:pPr>
      <w:r>
        <w:t xml:space="preserve">2. Abwasseranlagen das 60fache der Werte der Anlage 11 Teil D Nummer 2 übersteigt.</w:t>
      </w:r>
    </w:p>
    <w:p>
      <w:r>
        <w:t xml:space="preserve">Absatz 1 Satz 3 gilt entsprechend.</w:t>
      </w:r>
    </w:p>
    <w:p>
      <w:r>
        <w:t xml:space="preserve">(4) Einer Genehmigung nach den §§ 4, 6 oder 9 des Atomgesetzes oder nach § 12 Absatz 1 Nummer 3, auch in Verbindung mit Absatz 2, oder § 27 Absatz 1 des Strahlenschutzgesetzes bedarf nicht, wer in den Fällen des Absatzes 1 den Stoff oder in den Fällen des Absatzes 3 das Wasser nach unverzüglicher Mitteilung bis zur Entscheidung der zuständigen Behörde oder auf deren Anordnung lagert oder aus zwingenden Gründen zum Schutz von Leben und Gesundheit befördert oder handhabt.</w:t>
      </w:r>
    </w:p>
    <w:p>
      <w:r>
        <w:rPr>
          <w:color w:val="555555"/>
          <w:sz w:val="17"/>
        </w:rPr>
        <w:t xml:space="preserve">Zitiervorschlag: § 168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