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StrlSchV 2018 — Inhalt von Sanierungsplänen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Sanierungsplan sind die vorgesehenen Maßnahmen nach § 143 Absatz 1 Satz 2 Nummer 3 des Strahlenschutzgesetzes textlich und zeichnerisch vollständig darzustellen. Es ist darzulegen, dass diese Maßnahmen geeignet sind, dass der Referenzwert nach § 136 Absatz 1 des Strahlenschutzgesetzes dauerhaft unterschritten wird oder, wenn eine dauerhafte Unterschreitung nicht möglich ist, die vorgesehenen Maßnahmen geeignet sind, unter Berücksichtigung der Optimierungsgrundsätze nach § 163 die Exposition dauerhaft so gering wie möglich zu halten. Darzustellen sind insbesondere auch die voraussichtlichen Kosten sowie die Genehmigungs-, Anzeige- und Anmeldeerfordernisse, auch wenn ein verbindlicher Sanierungsplan nach § 143 Absatz 2 Satz 2 des Strahlenschutzgesetzes die Genehmigungs-, Anzeige- und Anmeldeerfordernisse nicht einschließen kann.</w:t>
      </w:r>
    </w:p>
    <w:p>
      <w:r>
        <w:t xml:space="preserve">(2) Über die in § 143 Absatz 1 Satz 2 des Strahlenschutzgesetzes aufgeführten Angaben hinaus soll ein Sanierungsplan insbesondere Angaben enthalten zu</w:t>
      </w:r>
    </w:p>
    <w:p>
      <w:pPr>
        <w:ind w:left="420"/>
      </w:pPr>
      <w:r>
        <w:t xml:space="preserve">1. den Standortverhältnissen und Eigenschaften der Altlast,</w:t>
      </w:r>
    </w:p>
    <w:p>
      <w:pPr>
        <w:ind w:left="420"/>
      </w:pPr>
      <w:r>
        <w:t xml:space="preserve">2. der äußeren Abgrenzung des Sanierungsplans sowie dem Einwirkungsbereich, der durch die Altlast bereits betroffen ist oder der durch die vorgesehenen Maßnahmen zu prognostizieren ist,</w:t>
      </w:r>
    </w:p>
    <w:p>
      <w:pPr>
        <w:ind w:left="420"/>
      </w:pPr>
      <w:r>
        <w:t xml:space="preserve">3. der technischen Ausgestaltung von Sanierungsmaßnahmen, Art und Umfang sonstiger Maßnahmen zur Verhinderung oder Verminderung der Exposition, den Elementen und dem Ablauf der Sanierung,</w:t>
      </w:r>
    </w:p>
    <w:p>
      <w:pPr>
        <w:ind w:left="420"/>
      </w:pPr>
      <w:r>
        <w:t xml:space="preserve">4. fachspezifischen Berechnungen zu den einzelnen Maßnahmenkomponenten,</w:t>
      </w:r>
    </w:p>
    <w:p>
      <w:pPr>
        <w:ind w:left="420"/>
      </w:pPr>
      <w:r>
        <w:t xml:space="preserve">5. den Eigenkontrollmaßnahmen zur Überprüfung der sachgerechten Ausführung und Wirksamkeit der vorgesehenen Maßnahmen,</w:t>
      </w:r>
    </w:p>
    <w:p>
      <w:pPr>
        <w:ind w:left="420"/>
      </w:pPr>
      <w:r>
        <w:t xml:space="preserve">6. den zu behandelnden Mengen und den Transport-, Verwertungs- und Entsorgungswegen,</w:t>
      </w:r>
    </w:p>
    <w:p>
      <w:pPr>
        <w:ind w:left="420"/>
      </w:pPr>
      <w:r>
        <w:t xml:space="preserve">7. den getroffenen behördlichen Entscheidungen und den geschlossenen öffentlich-rechtlichen Verträgen, die sich auf die Erfüllung der Pflicht zur Sanierung der radioaktiven Altlast auswirken,</w:t>
      </w:r>
    </w:p>
    <w:p>
      <w:pPr>
        <w:ind w:left="420"/>
      </w:pPr>
      <w:r>
        <w:t xml:space="preserve">8. den für eine Verbindlichkeitserklärung nach § 143 Absatz 2 Satz 2 des Strahlenschutzgesetzes durch die zuständige Behörde geforderten Angaben und Unterlagen,</w:t>
      </w:r>
    </w:p>
    <w:p>
      <w:pPr>
        <w:ind w:left="420"/>
      </w:pPr>
      <w:r>
        <w:t xml:space="preserve">9. dem Zeitplan für die Sanierung und Nachsorge der Altlast,</w:t>
      </w:r>
    </w:p>
    <w:p>
      <w:pPr>
        <w:ind w:left="420"/>
      </w:pPr>
      <w:r>
        <w:t xml:space="preserve">10. der Verantwortlichkeit für die Nachsorge und den Kriterien für die Beendigung der Nachsorge,</w:t>
      </w:r>
    </w:p>
    <w:p>
      <w:pPr>
        <w:ind w:left="420"/>
      </w:pPr>
      <w:r>
        <w:t xml:space="preserve">11. den Kriterien für den Nachweis des Sanierungserfolgs sowie</w:t>
      </w:r>
    </w:p>
    <w:p>
      <w:pPr>
        <w:ind w:left="420"/>
      </w:pPr>
      <w:r>
        <w:t xml:space="preserve">12. den Gesichtspunkten, die bei der Optimierung nach § 139 Absatz 2 Satz 2 des Strahlenschutzgesetzes in die Abwägung eingeflossen sind.</w:t>
      </w:r>
    </w:p>
    <w:p>
      <w:r>
        <w:rPr>
          <w:color w:val="555555"/>
          <w:sz w:val="17"/>
        </w:rPr>
        <w:t xml:space="preserve">Zitiervorschlag: § 164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