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 StrlSchV 2018 — Grundsätze für die Optimierung von Sanierungsmaßnahmen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Optimierung von Art, Umfang und Dauer der Sanierungs-, Schutz- und Beschränkungsmaßnahmen nach § 139 Absatz 2 Satz 2 des Strahlenschutzgesetzes sind die Vor- und Nachteile der verschiedenen Maßnahmen abzuwägen.</w:t>
      </w:r>
    </w:p>
    <w:p>
      <w:r>
        <w:t xml:space="preserve">(2) Bei der Abwägung sind insbesondere zu berücksichtigen:</w:t>
      </w:r>
    </w:p>
    <w:p>
      <w:pPr>
        <w:ind w:left="420"/>
      </w:pPr>
      <w:r>
        <w:t xml:space="preserve">1. die Eigenschaften der Altlast und des Standorts einschließlich der Nutzungs- und Expositionsverhältnisse,</w:t>
      </w:r>
    </w:p>
    <w:p>
      <w:pPr>
        <w:ind w:left="420"/>
      </w:pPr>
      <w:r>
        <w:t xml:space="preserve">2. die derzeitige Exposition durch die Altlast und die Prognose über die zukünftige Entwicklung der Exposition,</w:t>
      </w:r>
    </w:p>
    <w:p>
      <w:pPr>
        <w:ind w:left="420"/>
      </w:pPr>
      <w:r>
        <w:t xml:space="preserve">3. die durch die Maßnahmen zu erreichende Verminderung der Exposition,</w:t>
      </w:r>
    </w:p>
    <w:p>
      <w:pPr>
        <w:ind w:left="420"/>
      </w:pPr>
      <w:r>
        <w:t xml:space="preserve">4. die zusätzliche Exposition für Arbeitskräfte und die Bevölkerung durch die Maßnahmen,</w:t>
      </w:r>
    </w:p>
    <w:p>
      <w:pPr>
        <w:ind w:left="420"/>
      </w:pPr>
      <w:r>
        <w:t xml:space="preserve">5. die Kosten für die Umsetzung der Maßnahmen sowie für die Nachsorge,</w:t>
      </w:r>
    </w:p>
    <w:p>
      <w:pPr>
        <w:ind w:left="420"/>
      </w:pPr>
      <w:r>
        <w:t xml:space="preserve">6. die Veränderungen der Altlast, der geschaffenen Barrieren und der Ausbreitungsbedingungen, die die Wirksamkeit der Maßnahmen beeinträchtigen, sowie jeweils deren Konsequenzen für die Exposition und die Kosten; in Betracht zu ziehen sind hydrologische, geochemische und geomechanische Prozesse innerhalb der Altlast sowie externe geologische, klimatische und biologische Einflüsse,</w:t>
      </w:r>
    </w:p>
    <w:p>
      <w:pPr>
        <w:ind w:left="420"/>
      </w:pPr>
      <w:r>
        <w:t xml:space="preserve">7. die Stabilität der Maßnahmen gegenüber unzureichender oder unterbleibender Nachsorge und sich hieraus ergebende Konsequenzen für die Exposition und die Kosten,</w:t>
      </w:r>
    </w:p>
    <w:p>
      <w:pPr>
        <w:ind w:left="420"/>
      </w:pPr>
      <w:r>
        <w:t xml:space="preserve">8. die langfristigen negativen Auswirkungen der Maßnahmen auf die Umwelt und</w:t>
      </w:r>
    </w:p>
    <w:p>
      <w:pPr>
        <w:ind w:left="420"/>
      </w:pPr>
      <w:r>
        <w:t xml:space="preserve">9. die Auswirkungen der Maßnahmen auf die Belange der Betroffenen.</w:t>
      </w:r>
    </w:p>
    <w:p>
      <w:r>
        <w:rPr>
          <w:color w:val="555555"/>
          <w:sz w:val="17"/>
        </w:rPr>
        <w:t xml:space="preserve">Zitiervorschlag: § 163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