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StrlSchV 2018 — Emissions- und Immissionsüberwachung bei der Stilllegung und Sanierung der Betriebsanlagen und Betriebsstätten des Uranerzbergbaus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(1) Bei der Stilllegung und Sanierung der Betriebsanlagen und Betriebsstätten des Uranerzbergbaus hat der Genehmigungsinhaber dafür zu sorgen, dass die von den Betriebsanlagen und Betriebsstätten ausgehenden Emissionen und Immissionen</w:t>
      </w:r>
    </w:p>
    <w:p>
      <w:pPr>
        <w:ind w:left="420"/>
      </w:pPr>
      <w:r>
        <w:t xml:space="preserve">1. überwacht werden und</w:t>
      </w:r>
    </w:p>
    <w:p>
      <w:pPr>
        <w:ind w:left="420"/>
      </w:pPr>
      <w:r>
        <w:t xml:space="preserve">2. der zuständigen Behörde mindestens einmal jährlich mitgeteilt werden.</w:t>
      </w:r>
    </w:p>
    <w:p>
      <w:r>
        <w:t xml:space="preserve">Der Genehmigungsinhaber hat insbesondere ein Messprogramm zur Immissionsüberwachung aufzustellen.</w:t>
      </w:r>
    </w:p>
    <w:p>
      <w:r>
        <w:t xml:space="preserve">(2) Die zuständige Behörde bestimmt Messstellen für die Emissions- und Immissionsüberwachung. Diese haben folgende Aufgaben:</w:t>
      </w:r>
    </w:p>
    <w:p>
      <w:pPr>
        <w:ind w:left="420"/>
      </w:pPr>
      <w:r>
        <w:t xml:space="preserve">1. Kontrolle der vom Genehmigungsinhaber durchzuführenden Emissionsüberwachung,</w:t>
      </w:r>
    </w:p>
    <w:p>
      <w:pPr>
        <w:ind w:left="420"/>
      </w:pPr>
      <w:r>
        <w:t xml:space="preserve">2. Durchführung eines Messprogramms zur Immissionsüberwachung, das der Ergänzung und Kontrolle des vom Genehmigungsinhaber aufzustellenden Messprogramms dient.</w:t>
      </w:r>
    </w:p>
    <w:p>
      <w:r>
        <w:t xml:space="preserve">(3) Die zuständige Behörde kann davon ausgehen, dass die nach Absatz 1 und 2 Satz 2 erforderlichen Maßnahmen zur Emissions- und Immissionsüberwachung getroffen sind, wenn der Emissions- und Immissionsüberwachung die Richtlinie zur Emissions- und Immissionsüberwachung bei bergbaulichen Tätigkeiten (REI-Bergbau) zugrunde gelegt worden ist.</w:t>
      </w:r>
    </w:p>
    <w:p>
      <w:r>
        <w:t xml:space="preserve">(4) § 103 Absatz 3 gilt entsprechend.</w:t>
      </w:r>
    </w:p>
    <w:p>
      <w:r>
        <w:rPr>
          <w:color w:val="555555"/>
          <w:sz w:val="17"/>
        </w:rPr>
        <w:t xml:space="preserve">Zitiervorschlag: § 162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