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161 StrlSchV 2018 — Prüfwerte bei radioaktiven Altlasten und bei der Stilllegung und Sanierung der Betriebsanlagen und Betriebsstätten des Uranerzbergbaus</w:t>
      </w:r>
    </w:p>
    <w:p>
      <w:r>
        <w:rPr>
          <w:color w:val="555555"/>
          <w:sz w:val="18"/>
        </w:rPr>
        <w:t xml:space="preserve">Strahlenschutzverordnung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 der Bestimmung radioaktiver Altlasten nach § 136 Absatz 1 des Strahlenschutzgesetzes gilt für anthropogen überprägte natürliche Radionuklide der Zerfallsreihen von Uran-238 und Thorium-232 jeweils ein Prüfwert von 0,2 Becquerel je Gramm Trockenmasse.</w:t>
      </w:r>
    </w:p>
    <w:p>
      <w:r>
        <w:t xml:space="preserve">(2) Abweichend von Absatz 1 gilt jeweils ein Prüfwert von 1 Becquerel je Gramm Trockenmasse, wenn Folgendes ausgeschlossen werden kann:</w:t>
      </w:r>
    </w:p>
    <w:p>
      <w:pPr>
        <w:ind w:left="420"/>
      </w:pPr>
      <w:r>
        <w:t xml:space="preserve">1. die Nutzung oder Kontamination des Grundwassers,</w:t>
      </w:r>
    </w:p>
    <w:p>
      <w:pPr>
        <w:ind w:left="420"/>
      </w:pPr>
      <w:r>
        <w:t xml:space="preserve">2. eine dauerhafte Nutzung der Altlastenfläche für Wohnzwecke oder andere mit einem dauerhaften Aufenthalt von Menschen verbundene Zwecke und</w:t>
      </w:r>
    </w:p>
    <w:p>
      <w:pPr>
        <w:ind w:left="420"/>
      </w:pPr>
      <w:r>
        <w:t xml:space="preserve">3. der Verzehr von auf der Altlastenfläche landwirtschaftlich oder gärtnerisch erzeugten Produkten.</w:t>
      </w:r>
    </w:p>
    <w:p>
      <w:r>
        <w:t xml:space="preserve">Satz 1 gilt nicht für bergbauliche Altlasten.</w:t>
      </w:r>
    </w:p>
    <w:p>
      <w:r>
        <w:t xml:space="preserve">(3) Der Bestimmung sind repräsentative Werte der größten spezifischen Aktivitäten zugrunde zu legen.</w:t>
      </w:r>
    </w:p>
    <w:p>
      <w:r>
        <w:t xml:space="preserve">(4) Werden die in Absatz 1 oder 2 Satz 1 genannten Prüfwerte nicht überschritten, kann die zuständige Behörde davon ausgehen, dass keine radioaktive Altlast vorliegt. Bei künstlichen Radionukliden ist das Vorliegen einer radioaktiven Altlast im Einzelfall zu prüfen.</w:t>
      </w:r>
    </w:p>
    <w:p>
      <w:r>
        <w:t xml:space="preserve">(5) Eine Genehmigung nach § 149 Absatz 1 des Strahlenschutzgesetzes für die Stilllegung und Sanierung von Betriebsanlagen und Betriebsstätten des Uranerzbergbaus ist nicht erforderlich, wenn die Prüfwerte nach Absatz 1 nicht überschritten werden.</w:t>
      </w:r>
    </w:p>
    <w:p>
      <w:r>
        <w:rPr>
          <w:color w:val="555555"/>
          <w:sz w:val="17"/>
        </w:rPr>
        <w:t xml:space="preserve">Zitiervorschlag: § 161 StrlSchV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https://recht.nulegal.eu/gesetze/StrlSchV%202018/161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