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160 StrlSchV 2018 — Ermittlung der Exposition</w:t>
      </w:r>
    </w:p>
    <w:p>
      <w:r>
        <w:rPr>
          <w:color w:val="555555"/>
          <w:sz w:val="18"/>
        </w:rPr>
        <w:t xml:space="preserve">Strahlenschutzverordnung</w:t>
      </w:r>
    </w:p>
    <w:p>
      <w:r>
        <w:rPr>
          <w:color w:val="555555"/>
          <w:sz w:val="18"/>
        </w:rPr>
        <w:t xml:space="preserve">Stand: 17.01.2024 (konsolidierte Textfassung, kein amtliches Inkrafttretensdatum)</w:t>
      </w:r>
    </w:p>
    <w:p>
      <w:r>
        <w:t xml:space="preserve">(1) Bei der Ermittlung der Exposition von Einzelpersonen der Bevölkerung sind realistische Expositionspfade und Expositionsannahmen zu verwenden. Soweit dabei die Expositionspfade nach Anlage 11 Teil A Berücksichtigung finden, sind die Annahmen der Anlage 11 Teil B Tabelle 1 Spalte 1 bis 7 und Tabelle 2 zugrunde zu legen. Dabei sind unbeschadet des § 136 Absatz 3 des Strahlenschutzgesetzes Art und Konzentrationen der Radionuklide und die Möglichkeit ihrer Ausbreitung in der Umwelt zu berücksichtigen.</w:t>
      </w:r>
    </w:p>
    <w:p>
      <w:r>
        <w:t xml:space="preserve">(2) Es ist sowohl die gegenwärtige Exposition zu ermitteln als auch die zu erwartende zukünftige Exposition abzuschätzen. Expositionen sind für Zeiträume abzuschätzen,</w:t>
      </w:r>
    </w:p>
    <w:p>
      <w:pPr>
        <w:ind w:left="420"/>
      </w:pPr>
      <w:r>
        <w:t xml:space="preserve">1. in denen voraussichtlich nicht vernachlässigbare Expositionen auftreten werden und</w:t>
      </w:r>
    </w:p>
    <w:p>
      <w:pPr>
        <w:ind w:left="420"/>
      </w:pPr>
      <w:r>
        <w:t xml:space="preserve">2. die das zu erwartende Maximum der Exposition einschließen.</w:t>
      </w:r>
    </w:p>
    <w:p>
      <w:r>
        <w:t xml:space="preserve">Ist die Abschätzung der Exposition für den sich aus Satz 2 ergebenden Zeitraum nicht mit hinreichender Zuverlässigkeit möglich, so ist eine Abschätzung für den Zeitraum ausreichend, für den hinreichend zuverlässige Aussagen getroffen werden können. Eine Abschätzung ist höchstens für einen Zeitraum von 1 000 Jahren durchzuführen.</w:t>
      </w:r>
    </w:p>
    <w:p>
      <w:r>
        <w:t xml:space="preserve">(3) Für Einzelpersonen der Bevölkerung sind die in Anlage 18 Teil B Nummer 4 Satz 2 genannten Dosiskoeffizienten zu verwenden. Für Personen, die einer beruflichen Exposition ausgesetzt sind, sind die in Anlage 18 Teil B Nummer 4 Satz 3 genannten Dosiskoeffizienten zu verwenden. Zur Abschätzung der Körperdosis der Arbeitskräfte gemäß § 145 Absatz 1 des Strahlenschutzgesetzes sind stets die Dosiskoeffizienten für die berufliche Exposition gemäß Satz 2 zu verwenden.</w:t>
      </w:r>
    </w:p>
    <w:p>
      <w:r>
        <w:t xml:space="preserve">(4) Bei der Nutzung, Stilllegung, Sanierung und Folgenutzung bergbaulicher Anlagen und Einrichtungen, insbesondere der Betriebsanlagen und Betriebsstätten des Uranerzbergbaus, sowie anderer Grundstücke, die durch bergbauliche Hinterlassenschaften kontaminiert sind, kann die zuständige Behörde davon ausgehen, dass die Anforderungen nach Absatz 1 erfüllt sind, wenn der Ermittlung der Exposition die Berechnungsgrundlagen zur Ermittlung der Exposition infolge bergbaubedingter Umweltradioaktivität (Berechnungsgrundlagen – Bergbau) zugrunde gelegt worden sind.</w:t>
      </w:r>
    </w:p>
    <w:p>
      <w:r>
        <w:rPr>
          <w:color w:val="555555"/>
          <w:sz w:val="17"/>
        </w:rPr>
        <w:t xml:space="preserve">Zitiervorschlag: § 160 StrlSchV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https://recht.nulegal.eu/gesetze/StrlSchV%202018/160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