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StrlSchV 2018 — Technische Anforderungen an die Bauartzulassung einer Vorrichtung, die sonstige radioaktive Stoffe enthält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Bauart einer Vorrichtung, die sonstige radioaktive Stoffe nach § 3 Absatz 1 des Strahlenschutzgesetzes enthält, darf nach § 45 Absatz 1 Nummer 1 des Strahlenschutzgesetzes nur dann zugelassen werden, wenn sichergestellt ist, dass</w:t>
      </w:r>
    </w:p>
    <w:p>
      <w:pPr>
        <w:ind w:left="420"/>
      </w:pPr>
      <w:r>
        <w:t xml:space="preserve">1. sie nur sonstige radioaktive Stoffe nach § 3 Absatz 1 des Strahlenschutzgesetzes enthält, die</w:t>
      </w:r>
    </w:p>
    <w:p>
      <w:pPr>
        <w:ind w:left="780"/>
      </w:pPr>
      <w:r>
        <w:t xml:space="preserve">a) umschlossen sind und</w:t>
      </w:r>
    </w:p>
    <w:p>
      <w:pPr>
        <w:ind w:left="780"/>
      </w:pPr>
      <w:r>
        <w:t xml:space="preserve">b) berührungssicher abgedeckt sind,</w:t>
      </w:r>
    </w:p>
    <w:p>
      <w:pPr>
        <w:ind w:left="420"/>
      </w:pPr>
      <w:r>
        <w:t xml:space="preserve">2. die Ortsdosisleistung im Abstand von 0,1 Meter von der berührbaren Oberfläche der Vorrichtung 1 Mikrosievert durch Stunde bei normalen Betriebsbedingungen nicht überschreitet,</w:t>
      </w:r>
    </w:p>
    <w:p>
      <w:pPr>
        <w:ind w:left="420"/>
      </w:pPr>
      <w:r>
        <w:t xml:space="preserve">3. die Vorrichtung so ausgelegt ist, dass ein sicherer Einschluss der radioaktiven Stoffe bei bestimmungsgemäßem Betrieb gewährleistet ist und außer der Qualitätskontrolle durch den Hersteller nach § 24 Nummer 2 und einer gegebenenfalls durchzuführenden Dichtheitsprüfung nach § 25 Absatz 4 keine weiteren Dichtheitsprüfungen an den radioaktiven Stoffen, die in der Vorrichtung enthalten sind, erforderlich sind, und</w:t>
      </w:r>
    </w:p>
    <w:p>
      <w:pPr>
        <w:ind w:left="420"/>
      </w:pPr>
      <w:r>
        <w:t xml:space="preserve">4. die Aktivität der in der Vorrichtung enthaltenen radioaktiven Stoffe das Zehnfache der Freigrenzen der Anlage 4 Tabelle 1 Spalte 2 nicht überschreitet.</w:t>
      </w:r>
    </w:p>
    <w:p>
      <w:r>
        <w:t xml:space="preserve">(2) Die für die Zulassung der Bauart zuständige Behörde kann im Einzelfall Abweichungen von den Voraussetzungen nach Absatz 1 Nummer 1 Buchstabe a, Nummer 3 oder 4 zulassen, sofern die durch die Vorrichtung verursachte, zu erwartende jährliche, effektive Dosis für eine Einzelperson der Bevölkerung im Bereich von höchstens 10 Mikrosievert liegt.</w:t>
      </w:r>
    </w:p>
    <w:p>
      <w:r>
        <w:rPr>
          <w:color w:val="555555"/>
          <w:sz w:val="17"/>
        </w:rPr>
        <w:t xml:space="preserve">Zitiervorschlag: § 16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