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159 StrlSchV 2018 — Ermittlung der spezifischen Aktivität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Verpflichtete nach § 135 Absatz 1 des Strahlenschutzgesetzes hat zum Nachweis, dass der Referenzwert nach § 133 des Strahlenschutzgesetzes nicht überschritten wird,</w:t>
      </w:r>
    </w:p>
    <w:p>
      <w:pPr>
        <w:ind w:left="420"/>
      </w:pPr>
      <w:r>
        <w:t xml:space="preserve">1. den Aktivitätsindex nach Anlage 17 zu berechnen und</w:t>
      </w:r>
    </w:p>
    <w:p>
      <w:pPr>
        <w:ind w:left="420"/>
      </w:pPr>
      <w:r>
        <w:t xml:space="preserve">2. dafür zu sorgen, dass der Aktivitätsindex die in Anlage 17 genannten Werte nicht überschreitet.</w:t>
      </w:r>
    </w:p>
    <w:p>
      <w:r>
        <w:rPr>
          <w:color w:val="555555"/>
          <w:sz w:val="17"/>
        </w:rPr>
        <w:t xml:space="preserve">Zitiervorschlag: § 159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