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StrlSchV 2018 — Ermittlung der Exposition und der Körperdosis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Ermittlung der Körperdosis nach § 131 Absatz 1 Nummer 2 des Strahlenschutzgesetzes ist von einer nach § 169 Absatz 1 Nummer 4 des Strahlenschutzgesetzes bestimmten Messstelle durchzuführen.</w:t>
      </w:r>
    </w:p>
    <w:p>
      <w:r>
        <w:t xml:space="preserve">(2) Der nach § 131 Absatz 1 des Strahlenschutzgesetzes Verpflichtete hat dafür zu sorgen, dass die Exposition mit einem Messgerät gemessen wird,</w:t>
      </w:r>
    </w:p>
    <w:p>
      <w:pPr>
        <w:ind w:left="420"/>
      </w:pPr>
      <w:r>
        <w:t xml:space="preserve">1. das bei der Messstelle nach Absatz 1 anzufordern ist und das durch diese Messstelle ausgewertet wird oder</w:t>
      </w:r>
    </w:p>
    <w:p>
      <w:pPr>
        <w:ind w:left="420"/>
      </w:pPr>
      <w:r>
        <w:t xml:space="preserve">2. das zur Ermittlung von Messwerten unter seiner Verantwortung genutzt wird, wenn dessen Verwendung nach Zustimmung der Messstelle nach Absatz 1 von der zuständigen Behörde gestattet wurde.</w:t>
      </w:r>
    </w:p>
    <w:p>
      <w:r>
        <w:t xml:space="preserve">(3) Der nach § 131 Absatz 1 des Strahlenschutzgesetzes Verpflichtete hat dafür zu sorgen, dass die Expositionsbedingungen aufgezeichnet werden. Er hat dafür zu sorgen, dass der Messstelle zur Ermittlung der Körperdosis nach Ablauf von drei Monaten</w:t>
      </w:r>
    </w:p>
    <w:p>
      <w:pPr>
        <w:ind w:left="420"/>
      </w:pPr>
      <w:r>
        <w:t xml:space="preserve">1. die Messgeräte nach Absatz 2 Nummer 1 zusammen mit den Aufzeichnungen nach Satz 1 zur Verfügung gestellt werden oder</w:t>
      </w:r>
    </w:p>
    <w:p>
      <w:pPr>
        <w:ind w:left="420"/>
      </w:pPr>
      <w:r>
        <w:t xml:space="preserve">2. im Falle des Absatzes 2 Nummer 2, die Messwerte zusammen mit den Aufzeichnungen nach Satz 1 bereitgestellt werden.</w:t>
      </w:r>
    </w:p>
    <w:p>
      <w:r>
        <w:t xml:space="preserve">Die zuständige Behörde kann gestatten, dass die Messgeräte in Zeitabständen bis zu sechs Monaten der Messstelle einzureichen sind, wenn die Expositionsbedingungen dem nicht entgegenstehen.</w:t>
      </w:r>
    </w:p>
    <w:p>
      <w:r>
        <w:t xml:space="preserve">(4) Der nach § 131 Absatz 1 des Strahlenschutzgesetzes Verpflichtete hat darauf hinzuwirken, dass die Ergebnisse der Ermittlung der Körperdosis spätestens neun Monate nach erfolgter Exposition der an einem anmeldungsbedürftigen Arbeitsplatz beschäftigten Arbeitskraft vorliegen.</w:t>
      </w:r>
    </w:p>
    <w:p>
      <w:r>
        <w:t xml:space="preserve">(5) Der nach § 131 Absatz 1 des Strahlenschutzgesetzes Verpflichtete hat dafür zu sorgen, dass bei einer unterbliebenen oder fehlerhaften Messung</w:t>
      </w:r>
    </w:p>
    <w:p>
      <w:pPr>
        <w:ind w:left="420"/>
      </w:pPr>
      <w:r>
        <w:t xml:space="preserve">1. die zuständige Behörde informiert wird und</w:t>
      </w:r>
    </w:p>
    <w:p>
      <w:pPr>
        <w:ind w:left="420"/>
      </w:pPr>
      <w:r>
        <w:t xml:space="preserve">2. die Dosis abgeschätzt wird.</w:t>
      </w:r>
    </w:p>
    <w:p>
      <w:r>
        <w:t xml:space="preserve">Die zuständige Behörde legt eine Ersatzdosis fest und veranlasst, dass die Ersatzdosis an das Strahlenschutzregister nach § 170 des Strahlenschutzgesetzes übermittelt wird. Die zuständige Behörde kann im Einzelfall von der Festlegung einer Ersatzdosis absehen, wenn die festzusetzende Dosis 0 Millisievert beträgt und sie diesen Wert an das Strahlenschutzregister nach § 170 des Strahlenschutzgesetzes übermittelt. Die Übermittlung nach Satz 2 oder 3 kann über eine nach § 169 des Strahlenschutzgesetzes bestimmte Messstelle erfolgen.</w:t>
      </w:r>
    </w:p>
    <w:p>
      <w:r>
        <w:rPr>
          <w:color w:val="555555"/>
          <w:sz w:val="17"/>
        </w:rPr>
        <w:t xml:space="preserve">Zitiervorschlag: § 157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