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153 StrlSchV 2018 — Festlegung von Gebieten nach § 121 Absatz 1 Satz 1 des Strahlenschutzgesetzes</w:t>
      </w:r>
    </w:p>
    <w:p>
      <w:r>
        <w:rPr>
          <w:color w:val="555555"/>
          <w:sz w:val="18"/>
        </w:rPr>
        <w:t xml:space="preserve">Strahlenschutzverordnung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zuständige Behörde hat die Festlegung der Gebiete nach § 121 Absatz 1 Satz 1 des Strahlenschutzgesetzes auf Grundlage einer wissenschaftlich basierten Methode vorzunehmen, die unter Zugrundelegung geeigneter Daten Vorhersagen hinsichtlich der Überschreitung des Referenzwertes nach § 124 oder § 126 des Strahlenschutzgesetzes in der Luft von Aufenthaltsräumen oder Arbeitsplätzen ermöglicht. Geeignete Daten sind insbesondere geologische Daten, Messdaten der Radon-222-Aktivitätskonzentration in der Bodenluft, Messdaten der Bodenpermeabilität, Messdaten zur Radon-222-Aktivitätskonzentration in Aufenthaltsräumen oder an Arbeitsplätzen sowie Fernerkundungsdaten.</w:t>
      </w:r>
    </w:p>
    <w:p>
      <w:r>
        <w:t xml:space="preserve">(2) Die zuständige Behörde kann davon ausgehen, dass die über das Jahr gemittelte Radon-222-Aktivitätskonzentration den Referenzwert nach § 124 oder § 126 des Strahlenschutzgesetzes in einer beträchtlichen Anzahl von Gebäuden in der Luft von Aufenthaltsräumen oder Arbeitsplätzen eines Gebiets überschreitet, wenn auf Grund einer Vorhersage nach Absatz 1 auf mindestens 75 Prozent des jeweils auszuweisenden Gebiets der Referenzwert in mindestens zehn Prozent der Anzahl der Gebäude überschritten wird.</w:t>
      </w:r>
    </w:p>
    <w:p>
      <w:r>
        <w:t xml:space="preserve">(3) Die Festlegung der Gebiete erfolgt innerhalb der in dem Land bestehenden Verwaltungsgrenzen.</w:t>
      </w:r>
    </w:p>
    <w:p>
      <w:r>
        <w:t xml:space="preserve">(4) Die zuständige Behörde erhebt die zur Festlegung der Gebiete nach § 121 Absatz 1 Satz 1 des Strahlenschutzgesetzes und die zur Überprüfung der Gebietsfestlegung nach § 121 Absatz 1 Satz 3 des Strahlenschutzgesetzes erforderlichen Daten nach Absatz 1. Hierzu führt sie die erforderlichen Messungen und Probenahmen durch oder zieht vorhandene Daten heran.</w:t>
      </w:r>
    </w:p>
    <w:p>
      <w:r>
        <w:rPr>
          <w:color w:val="555555"/>
          <w:sz w:val="17"/>
        </w:rPr>
        <w:t xml:space="preserve">Zitiervorschlag: § 153 StrlSchV 2018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https://recht.nulegal.eu/gesetze/StrlSchV%202018/153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