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147 StrlSchV 2018 — Berechtigte Personen außerhalb der Anwendung am Menschen oder der Tierheilkunde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Strahlenschutzverantwortliche hat dafür zu sorgen, dass in anderen Fällen als zur Anwendung am Menschen oder zur Anwendung am Tier in der Tierheilkunde nur solche Personen Röntgenstrahlung anwenden, die</w:t>
      </w:r>
    </w:p>
    <w:p>
      <w:pPr>
        <w:ind w:left="420"/>
      </w:pPr>
      <w:r>
        <w:t xml:space="preserve">1. die erforderliche Fachkunde im Strahlenschutz besitzen oder</w:t>
      </w:r>
    </w:p>
    <w:p>
      <w:pPr>
        <w:ind w:left="420"/>
      </w:pPr>
      <w:r>
        <w:t xml:space="preserve">2. auf ihrem Arbeitsgebiet über die für den Anwendungsfall erforderlichen Kenntnisse im Strahlenschutz verfügen.</w:t>
      </w:r>
    </w:p>
    <w:p>
      <w:r>
        <w:t xml:space="preserve">Satz 1 gilt nicht für den Betrieb eines Vollschutzgerätes nach § 45 Absatz 1 Nummer 5 des Strahlenschutzgesetzes.</w:t>
      </w:r>
    </w:p>
    <w:p>
      <w:r>
        <w:rPr>
          <w:color w:val="555555"/>
          <w:sz w:val="17"/>
        </w:rPr>
        <w:t xml:space="preserve">Zitiervorschlag: § 147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