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StrlSchV 2018 — Ausnahmen; andere Vorschriften über die grenzüberschreitende Verbringung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Keiner Genehmigung nach § 3 Absatz 1 des Atomgesetzes oder § 12 dieser Verordnung bedarf und keine Anmeldung nach § 13 dieser Verordnung hat vorzunehmen, wer</w:t>
      </w:r>
    </w:p>
    <w:p>
      <w:pPr>
        <w:ind w:left="420"/>
      </w:pPr>
      <w:r>
        <w:t xml:space="preserve">1. einen der in Anlage 3 Teil E genannten Stoffe oder eine dort genannte Vorrichtung verbringt,</w:t>
      </w:r>
    </w:p>
    <w:p>
      <w:pPr>
        <w:ind w:left="420"/>
      </w:pPr>
      <w:r>
        <w:t xml:space="preserve">2. sonstige radioaktive Stoffe nach § 3 Absatz 1 des Strahlenschutzgesetzes oder Kernbrennstoffe nach § 3 Absatz 3 des Strahlenschutzgesetzes zollamtlich überwacht durch den Geltungsbereich dieser Verordnung verbringt,</w:t>
      </w:r>
    </w:p>
    <w:p>
      <w:pPr>
        <w:ind w:left="420"/>
      </w:pPr>
      <w:r>
        <w:t xml:space="preserve">3. Stoffe im Sinne der Nummer 2 zur eigenen Nutzung im Rahmen eines genehmigten Umgangs vorübergehend grenzüberschreitend verbringt, sofern es sich nicht um hochradioaktive Strahlenquellen handelt, oder</w:t>
      </w:r>
    </w:p>
    <w:p>
      <w:pPr>
        <w:ind w:left="420"/>
      </w:pPr>
      <w:r>
        <w:t xml:space="preserve">4. nach § 42 des Strahlenschutzgesetzes Konsumgüter verbringt.</w:t>
      </w:r>
    </w:p>
    <w:p>
      <w:r>
        <w:t xml:space="preserve">(1a) Eine Genehmigung nach § 12 Absatz 1 oder 2 und eine Anmeldung nach § 13 sind nicht erforderlich, soweit eine Genehmigung nach § 3 Absatz 1 des Atomgesetzes vorliegt, die sich gemäß § 10a Absatz 1 des Atomgesetzes auf eine Verbringung nach § 12 Absatz 1 oder 2 erstreckt.</w:t>
      </w:r>
    </w:p>
    <w:p>
      <w:r>
        <w:t xml:space="preserve">(2) Die §§ 12 und 13 dieser Verordnung gelten nicht für die Verbringung durch die Bundeswehr.</w:t>
      </w:r>
    </w:p>
    <w:p>
      <w:r>
        <w:t xml:space="preserve">(3) Andere Vorschriften über die Verbringung bleiben unberührt.</w:t>
      </w:r>
    </w:p>
    <w:p>
      <w:r>
        <w:rPr>
          <w:color w:val="555555"/>
          <w:sz w:val="17"/>
        </w:rPr>
        <w:t xml:space="preserve">Zitiervorschlag: § 14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