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135 StrlSchV 2018 — Aufklärung und Befragung</w:t>
      </w:r>
    </w:p>
    <w:p>
      <w:r>
        <w:rPr>
          <w:color w:val="555555"/>
          <w:sz w:val="18"/>
        </w:rPr>
        <w:t xml:space="preserve">Strahlenschutzverordnung</w:t>
      </w:r>
    </w:p>
    <w:p>
      <w:r>
        <w:rPr>
          <w:color w:val="555555"/>
          <w:sz w:val="18"/>
        </w:rPr>
        <w:t xml:space="preserve">Stand: 10.06.2019 (konsolidierte Textfassung, kein amtliches Inkrafttretensdatum)</w:t>
      </w:r>
    </w:p>
    <w:p>
      <w:r>
        <w:t xml:space="preserve">(1) Der Strahlenschutzverantwortliche hat dafür zu sorgen, dass der in das Forschungsvorhaben eingeschlossenen Person vor der Erklärung der Einwilligungen nach § 134 Absatz 1 Satz 1 und Absatz 2 eine für die Person verständliche schriftliche Information zu der Anwendung ausgehändigt wird, in der Art, Bedeutung, Tragweite und Risiken der Anwendung der radioaktiven Stoffe oder der ionisierenden Strahlung dargelegt werden und die in das Forschungsvorhaben eingeschlossene Person über die Bedingungen und die Dauer der Anwendungen und über die Möglichkeit des Widerrufs der Einwilligung nach § 134 Absatz 1 Satz 1 unterrichtet wird.</w:t>
      </w:r>
    </w:p>
    <w:p>
      <w:r>
        <w:t xml:space="preserve">(2) Der Strahlenschutzverantwortliche hat dafür zu sorgen, dass die in das Forschungsvorhaben eingeschlossene Person vor Erklärung der Einwilligungen nach § 134 Absatz 1 Satz 1 und Absatz 2 durch den die Anwendungen leitenden Arzt oder Zahnarzt oder einen von diesem beauftragten Arzt oder Zahnarzt aufgeklärt und befragt wird, ob an ihr bereits radioaktive Stoffe oder ionisierende Strahlung angewendet worden sind. Bei genehmigungsbedürftigen Anwendungen muss der beauftragte Arzt oder Zahnarzt die erforderliche Fachkunde im Strahlenschutz besitzen. Die Aufklärung muss die in Absatz 1 genannten Aspekte umfassen. Der Strahlenschutzverantwortliche hat dafür zu sorgen, dass über die Aufklärung und die Befragung Aufzeichnungen angefertigt werden.</w:t>
      </w:r>
    </w:p>
    <w:p>
      <w:r>
        <w:rPr>
          <w:color w:val="555555"/>
          <w:sz w:val="17"/>
        </w:rPr>
        <w:t xml:space="preserve">Zitiervorschlag: § 135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https://recht.nulegal.eu/gesetze/StrlSchV%202018/135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