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StrlSchV 2018 — Anmeldebedürftige grenzüberschreitende Verbringung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Wer sonstige radioaktive Stoffe nach § 3 Absatz 1 des Strahlenschutzgesetzes oder Kernbrennstoffe nach § 3 Absatz 3 des Strahlenschutzgesetzes</w:t>
      </w:r>
    </w:p>
    <w:p>
      <w:pPr>
        <w:ind w:left="420"/>
      </w:pPr>
      <w:r>
        <w:t xml:space="preserve">1. aus einem Staat, der nicht Mitgliedstaat der Europäischen Union ist, in den Geltungsbereich dieser Verordnung verbringt oder</w:t>
      </w:r>
    </w:p>
    <w:p>
      <w:pPr>
        <w:ind w:left="420"/>
      </w:pPr>
      <w:r>
        <w:t xml:space="preserve">2. aus dem Geltungsbereich dieser Verordnung in einen Staat verbringt, der nicht Mitgliedstaat der Europäischen Union ist,</w:t>
      </w:r>
    </w:p>
    <w:p>
      <w:r>
        <w:t xml:space="preserve">und keiner Genehmigung nach § 12 Absatz 1 oder 2 bedarf, hat die Verbringung der nach § 188 Absatz 1 Satz 2 des Strahlenschutzgesetzes zuständigen Behörde elektronisch anzumelden. Das Verfahren der elektronischen Anmeldung bestimmt die nach § 188 Absatz 1 Satz 2 des Strahlenschutzgesetzes zuständige Behörde. Der im Verfahren der elektronischen Anmeldung erzeugte Ausdruck des Anmeldeformulars ist den Zollbehörden bei der Zollabfertigung als Nachweis der elektronischen Anmeldung vorzulegen.</w:t>
      </w:r>
    </w:p>
    <w:p>
      <w:r>
        <w:t xml:space="preserve">(2) Wer Kernbrennstoffe nach § 3 Absatz 1 des Strahlenschutzgesetzes in Form von</w:t>
      </w:r>
    </w:p>
    <w:p>
      <w:pPr>
        <w:ind w:left="420"/>
      </w:pPr>
      <w:r>
        <w:t xml:space="preserve">1. bis zu 1 Kilogramm Uran, das auf 10 Prozent oder mehr, jedoch weniger als 20 Prozent an Uran-235 angereichert ist, oder</w:t>
      </w:r>
    </w:p>
    <w:p>
      <w:pPr>
        <w:ind w:left="420"/>
      </w:pPr>
      <w:r>
        <w:t xml:space="preserve">2. weniger als 10 Kilogramm Uran, das auf weniger als 10 Prozent an Uran-235 angereichert ist,</w:t>
      </w:r>
    </w:p>
    <w:p>
      <w:r>
        <w:t xml:space="preserve">aus einem Staat, der nicht Mitgliedstaat der Europäischen Union ist, in den Geltungsbereich dieser Verordnung verbringt, hat die Verbringung abweichend von § 3 Absatz 1 des Atomgesetzes nach Absatz 1 anzumelden.</w:t>
      </w:r>
    </w:p>
    <w:p>
      <w:r>
        <w:t xml:space="preserve">(3) Bei einer nach Absatz 1 Satz 1 oder Absatz 2 anmeldebedürftigen Verbringung in den Geltungsbereich dieser Verordnung hat der Verbringer Vorsorge zu treffen, dass die zu verbringenden radioaktiven Stoffe nach der Verbringung erstmals nur an Personen abgegeben werden, die eine Genehmigung nach § 12 Absatz 1 Nummer 1 oder 3, jeweils auch in Verbindung mit Absatz 2, des Strahlenschutzgesetzes oder § 6 Absatz 1, § 7 Absatz 1 Satz 1 oder Absatz 3 Satz 1 oder § 9 Absatz 1 des Atomgesetzes besitzen.</w:t>
      </w:r>
    </w:p>
    <w:p>
      <w:r>
        <w:rPr>
          <w:color w:val="555555"/>
          <w:sz w:val="17"/>
        </w:rPr>
        <w:t xml:space="preserve">Zitiervorschlag: § 13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