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129 StrlSchV 2018 — Mitteilung der Aufnahme und Beendigung einer Tätigkeit an eine ärztliche oder zahnärztliche Stelle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Strahlenschutzverantwortliche hat dafür zu sorgen, dass</w:t>
      </w:r>
    </w:p>
    <w:p>
      <w:pPr>
        <w:ind w:left="420"/>
      </w:pPr>
      <w:r>
        <w:t xml:space="preserve">1. die Aufnahme einer Tätigkeit im Zusammenhang mit der Anwendung ionisierender Strahlung oder radioaktiver Stoffe am Menschen, die einer Genehmigung nach § 12 Absatz 1 Nummer 1, 2, 3 oder Nummer 4 des Strahlenschutzgesetzes oder einer Anzeige nach § 19 Absatz 1 des Strahlenschutzgesetzes bedarf, unverzüglich einer von der zuständigen Behörde bestimmten ärztlichen oder zahnärztlichen Stelle mitgeteilt wird und</w:t>
      </w:r>
    </w:p>
    <w:p>
      <w:pPr>
        <w:ind w:left="420"/>
      </w:pPr>
      <w:r>
        <w:t xml:space="preserve">2. ein Abdruck der Mitteilung der zuständigen Behörde übersandt wird.</w:t>
      </w:r>
    </w:p>
    <w:p>
      <w:r>
        <w:t xml:space="preserve">Bei einer wesentlichen Änderung einer Tätigkeit gilt Satz 1 entsprechend.</w:t>
      </w:r>
    </w:p>
    <w:p>
      <w:r>
        <w:t xml:space="preserve">(2) Der Strahlenschutzverantwortliche hat dafür zu sorgen, dass</w:t>
      </w:r>
    </w:p>
    <w:p>
      <w:pPr>
        <w:ind w:left="420"/>
      </w:pPr>
      <w:r>
        <w:t xml:space="preserve">1. die Beendigung einer Tätigkeit nach Absatz 1 Satz 1 Nummer 1 unverzüglich einer von der zuständigen Behörde bestimmten ärztlichen oder zahnärztlichen Stelle mitgeteilt wird und</w:t>
      </w:r>
    </w:p>
    <w:p>
      <w:pPr>
        <w:ind w:left="420"/>
      </w:pPr>
      <w:r>
        <w:t xml:space="preserve">2. ein Abdruck der Mitteilung der zuständigen Behörde übersandt wird.</w:t>
      </w:r>
    </w:p>
    <w:p>
      <w:r>
        <w:rPr>
          <w:color w:val="555555"/>
          <w:sz w:val="17"/>
        </w:rPr>
        <w:t xml:space="preserve">Zitiervorschlag: § 129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