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StrlSchV 2018 — Bestimmung von ärztlichen und zahnärztlichen Stellen zur Qualitätssicherung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Sicherung der Qualität bei der Anwendung ionisierender Strahlung oder radioaktiver Stoffe am Menschen bestimmt die zuständige Behörde für ihren Zuständigkeitsbereich ärztliche und zahnärztliche Stellen.</w:t>
      </w:r>
    </w:p>
    <w:p>
      <w:r>
        <w:t xml:space="preserve">(2) Eine ärztliche oder zahnärztliche Stelle darf nur bestimmt werden, wenn</w:t>
      </w:r>
    </w:p>
    <w:p>
      <w:pPr>
        <w:ind w:left="420"/>
      </w:pPr>
      <w:r>
        <w:t xml:space="preserve">1. keine Tatsachen vorliegen, aus denen sich Bedenken gegen die für die Wahrnehmung ihrer Aufgaben erforderliche Unabhängigkeit ergeben,</w:t>
      </w:r>
    </w:p>
    <w:p>
      <w:pPr>
        <w:ind w:left="420"/>
      </w:pPr>
      <w:r>
        <w:t xml:space="preserve">2. die zur Wahrnehmung ihrer Aufgaben erforderliche personelle, technische und organisatorische Ausstattung zur Verfügung steht,</w:t>
      </w:r>
    </w:p>
    <w:p>
      <w:pPr>
        <w:ind w:left="420"/>
      </w:pPr>
      <w:r>
        <w:t xml:space="preserve">3. die für die Stelle tätigen Personen über die erforderliche Qualifikation und Erfahrung zur Wahrnehmung der Aufgaben der ärztlichen oder zahnärztlichen Stelle verfügen,</w:t>
      </w:r>
    </w:p>
    <w:p>
      <w:pPr>
        <w:ind w:left="420"/>
      </w:pPr>
      <w:r>
        <w:t xml:space="preserve">4. die Arbeitsweise der ärztlichen oder zahnärztlichen Stelle und die Art und Weise der Durchführung der Prüfungen nach § 130 Absatz 1 und 2 die ordnungsgemäße Wahrnehmung der Aufgaben einschließlich der Beachtung der Erfordernisse der medizinischen Wissenschaft erwarten lassen und</w:t>
      </w:r>
    </w:p>
    <w:p>
      <w:pPr>
        <w:ind w:left="420"/>
      </w:pPr>
      <w:r>
        <w:t xml:space="preserve">5. angemessene Maßnahmen zur Qualitätssicherung ihrer Prüfungen zur Verfügung stehen.</w:t>
      </w:r>
    </w:p>
    <w:p>
      <w:r>
        <w:rPr>
          <w:color w:val="555555"/>
          <w:sz w:val="17"/>
        </w:rPr>
        <w:t xml:space="preserve">Zitiervorschlag: § 128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