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StrlSchV 2018 — Informationspflichten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eine Person, an der ionisierende Strahlung oder radioaktive Stoffe angewendet werden, vor der Anwendung über das Risiko der Strahlenanwendung informiert wird.</w:t>
      </w:r>
    </w:p>
    <w:p>
      <w:r>
        <w:t xml:space="preserve">(2) Der Strahlenschutzverantwortliche hat dafür zu sorgen, dass Betreuungs- oder Begleitpersonen vor dem Betreten des Kontrollbereichs</w:t>
      </w:r>
    </w:p>
    <w:p>
      <w:pPr>
        <w:ind w:left="420"/>
      </w:pPr>
      <w:r>
        <w:t xml:space="preserve">1. über mögliche Gefahren der Exposition aufgeklärt werden und</w:t>
      </w:r>
    </w:p>
    <w:p>
      <w:pPr>
        <w:ind w:left="420"/>
      </w:pPr>
      <w:r>
        <w:t xml:space="preserve">2. geeignete schriftliche Hinweise angeboten und auf Wunsch ausgehändigt bekommen.</w:t>
      </w:r>
    </w:p>
    <w:p>
      <w:r>
        <w:t xml:space="preserve">(3) Der Strahlenschutzverantwortliche hat dafür zu sorgen, dass nach der Anwendung radioaktiver Stoffe der Person, an der die Stoffe angewendet wurden, sowie der Betreuungs- oder Begleitperson geeignete schriftliche Hinweise ausgehändigt werden, um die von der Person ausgehende Exposition oder die Kontamination der Angehörigen, Dritter oder der Umwelt zu vermeiden oder so gering wie möglich zu halten. Dies gilt nicht, wenn eine solche Exposition oder Kontamination ausgeschlossen werden kann oder die Person weiter stationär aufgenommen wird.</w:t>
      </w:r>
    </w:p>
    <w:p>
      <w:r>
        <w:t xml:space="preserve">(4) Der Strahlenschutzverantwortliche hat dafür zu sorgen, dass eine Person nach einer Behandlung mit ionisierender Strahlung oder radioaktiven Stoffen, die eine Überprüfung des langfristigen Erfolgs der Strahlenbehandlung erfordert, über geeignete Zeitabstände für die Überprüfung informiert wird.</w:t>
      </w:r>
    </w:p>
    <w:p>
      <w:r>
        <w:rPr>
          <w:color w:val="555555"/>
          <w:sz w:val="17"/>
        </w:rPr>
        <w:t xml:space="preserve">Zitiervorschlag: § 124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