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StrlSchV 2018 — Beschränkung der Exposition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Maßnahmen ergriffen werden, um die Exposition von Betreuungs- und Begleitpersonen zu beschränken. Er hat dafür zu sorgen, dass innerhalb von sechs Monaten nach Aufnahme einer Tätigkeit geprüft wird, ob die Festlegung von Dosisrichtwerten für die Exposition von Betreuungs- und Begleitpersonen ein geeignetes Instrument zur Optimierung des Strahlenschutzes ist. Der Strahlenschutzverantwortliche hat auch dafür zu sorgen, dass ein Leitfaden für den Strahlenschutz von Betreuungs- und Begleitpersonen erstellt wird.</w:t>
      </w:r>
    </w:p>
    <w:p>
      <w:r>
        <w:t xml:space="preserve">(2) Der Strahlenschutzverantwortliche hat dafür zu sorgen, dass für jede Art der Untersuchung und Behandlung die Expositionen der Personen, an denen ionisierende Strahlung oder radioaktive Stoffe angewendet werden, regelmäßig ausgewertet und bewertet wird.</w:t>
      </w:r>
    </w:p>
    <w:p>
      <w:r>
        <w:t xml:space="preserve">(3) Der Strahlenschutzverantwortliche hat dafür zu sorgen, dass die diagnostischen Referenzwerte nach § 125 Absatz 1 Satz 1 bei Untersuchungen von Personen mit radioaktiven Stoffen oder ionisierender Strahlung zugrunde gelegt werden.</w:t>
      </w:r>
    </w:p>
    <w:p>
      <w:r>
        <w:t xml:space="preserve">(4) Der Strahlenschutzverantwortliche hat dafür zu sorgen, dass eine Person, die mit radioaktiven Stoffen behandelt wurde, erst dann aus dem Strahlenschutzbereich entlassen wird, wenn davon ausgegangen werden kann, dass hierdurch für Angehörige und Dritte eine effektive Dosis von nicht mehr als 1 Millisievert auftreten kann. Ist im Einzelfall eine Entlassung aus medizinischen Gründen vor diesem Zeitpunkt erforderlich, so hat der Strahlenschutzverantwortliche dafür zu sorgen, dass dies schriftlich begründet und der zuständigen Behörde mitgeteilt wird.</w:t>
      </w:r>
    </w:p>
    <w:p>
      <w:r>
        <w:rPr>
          <w:color w:val="555555"/>
          <w:sz w:val="17"/>
        </w:rPr>
        <w:t xml:space="preserve">Zitiervorschlag: § 122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