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StrlSchV 2018 — Rechtfertigende Indikation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die rechtfertigende Indikation stellende Arzt oder Zahnarzt hat neben der Einhaltung der Anforderungen nach § 83 Absatz 3 des Strahlenschutzgesetzes zu prüfen, ob es sich bei der vorgesehenen Anwendung ionisierender Strahlung oder radioaktiver Stoffe um ein anerkanntes Verfahren nach den Erfordernissen der medizinischen Wissenschaften oder um einen Heilversuch handelt, dessen Durchführung durch den Arzt oder Zahnarzt besonders zu begründen ist.</w:t>
      </w:r>
    </w:p>
    <w:p>
      <w:r>
        <w:t xml:space="preserve">(2) Eine rechtfertigende Indikation ist auch dann zu stellen, wenn eine Anforderung eines überweisenden Arztes oder Zahnarztes vorliegt.</w:t>
      </w:r>
    </w:p>
    <w:p>
      <w:r>
        <w:t xml:space="preserve">(3) Der die rechtfertigende Indikation stellende Arzt oder Zahnarzt hat vor der Anwendung, erforderlichenfalls in Zusammenarbeit mit dem überweisenden Arzt oder Zahnarzt, die verfügbaren Informationen über bisherige medizinische Erkenntnisse heranzuziehen, um jede unnötige Exposition zu vermeiden. Zu diesem Zweck ist die zu untersuchende oder zu behandelnde Person über frühere Anwendungen ionisierender Strahlung oder radioaktiver Stoffe, die für die vorgesehene Anwendung von Bedeutung sein können, zu befragen.</w:t>
      </w:r>
    </w:p>
    <w:p>
      <w:r>
        <w:rPr>
          <w:color w:val="555555"/>
          <w:sz w:val="17"/>
        </w:rPr>
        <w:t xml:space="preserve">Zitiervorschlag: § 119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