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116 StrlSchV 2018 — Konstanzprüfung</w:t>
      </w:r>
    </w:p>
    <w:p>
      <w:r>
        <w:rPr>
          <w:color w:val="555555"/>
          <w:sz w:val="18"/>
        </w:rPr>
        <w:t xml:space="preserve">Strahlenschutzverordnung</w:t>
      </w:r>
    </w:p>
    <w:p>
      <w:r>
        <w:rPr>
          <w:color w:val="555555"/>
          <w:sz w:val="18"/>
        </w:rPr>
        <w:t xml:space="preserve">Stand: 17.01.2024 (konsolidierte Textfassung, kein amtliches Inkrafttretensdatum)</w:t>
      </w:r>
    </w:p>
    <w:p>
      <w:r>
        <w:t xml:space="preserve">(1) Der Strahlenschutzverantwortliche hat dafür zu sorgen, dass für Anlagen zur Erzeugung ionisierender Strahlung, Bestrahlungsvorrichtungen, Röntgeneinrichtungen oder sonstige Vorrichtungen oder Geräte nach § 115 Absatz 1 nach der Inbetriebnahme regelmäßig und in den erforderlichen Zeitabständen geprüft wird, ob die für die Anwendung erforderliche Qualität im Sinne des § 14 Absatz 1 Nummer 5 des Strahlenschutzgesetzes weiterhin erreicht wird (Konstanzprüfung). Hierzu ist insbesondere zu prüfen, ob die Bezugswerte, die nach § 115 Absatz 2 und Absatz 4 Satz 1 und 2 erhoben wurden, eingehalten werden. Die zuständige Behörde kann die Zeitabstände für die Konstanzprüfung festlegen, soweit dies zum Schutz von Personen, an denen ionisierende Strahlung oder radioaktive Stoffe angewandt werden, erforderlich ist.</w:t>
      </w:r>
    </w:p>
    <w:p>
      <w:r>
        <w:t xml:space="preserve">(2) Der Strahlenschutzverantwortliche hat dafür zu sorgen, dass bei der Konstanzprüfung Prüfmittel verwendet werden, die denjenigen, die für die Bestimmung der Bezugswerte nach § 115 Absatz 2 verwendet wurden, gleichartig und gleichwertig sind. Die zuständige Behörde kann im Einzelfall der Verwendung anderer Prüfmittel zustimmen, wenn die Verwendung der Prüfmittel nach Satz 1 zu einer unverhältnismäßigen Beeinträchtigung des angezeigten oder genehmigten Betriebs oder Umgangs führen würde.</w:t>
      </w:r>
    </w:p>
    <w:p>
      <w:r>
        <w:t xml:space="preserve">(3) In Fällen des § 115 Absatz 3 ist zudem zu prüfen, ob auch das Gesamtsystem die für die Anwendung erforderliche Qualität im Sinne des § 14 Absatz 1 Nummer 5 des Strahlenschutzgesetzes weiterhin erreicht.</w:t>
      </w:r>
    </w:p>
    <w:p>
      <w:r>
        <w:t xml:space="preserve">(4) Wird die erforderliche Qualität im Sinne des § 14 Absatz 1 Nummer 5 des Strahlenschutzgesetzes nicht mehr erreicht, so hat der Strahlenschutzverantwortliche dafür zu sorgen, dass die Ursache unverzüglich ermittelt und beseitigt wird.</w:t>
      </w:r>
    </w:p>
    <w:p>
      <w:r>
        <w:rPr>
          <w:color w:val="555555"/>
          <w:sz w:val="17"/>
        </w:rPr>
        <w:t xml:space="preserve">Zitiervorschlag: § 116 StrlSchV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https://recht.nulegal.eu/gesetze/StrlSchV%202018/116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